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2CFCB">
      <w:pPr>
        <w:pStyle w:val="61"/>
      </w:pPr>
      <w:bookmarkStart w:id="0" w:name="_Toc535314708"/>
      <w:bookmarkStart w:id="1" w:name="_Toc393480183"/>
      <w:r>
        <w:t>A101010</w:t>
      </w:r>
      <w:r>
        <w:tab/>
      </w:r>
      <w:r>
        <w:rPr>
          <w:rFonts w:hint="eastAsia"/>
        </w:rPr>
        <w:t>一般企业收入明细表</w:t>
      </w:r>
      <w:bookmarkEnd w:id="0"/>
    </w:p>
    <w:tbl>
      <w:tblPr>
        <w:tblStyle w:val="25"/>
        <w:tblW w:w="96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0"/>
        <w:gridCol w:w="6760"/>
        <w:gridCol w:w="2300"/>
      </w:tblGrid>
      <w:tr w14:paraId="7EAFF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tcBorders>
              <w:top w:val="single" w:color="auto" w:sz="12" w:space="0"/>
            </w:tcBorders>
            <w:noWrap/>
            <w:vAlign w:val="center"/>
          </w:tcPr>
          <w:p w14:paraId="721F2536">
            <w:pPr>
              <w:widowControl/>
              <w:jc w:val="center"/>
              <w:rPr>
                <w:rFonts w:ascii="宋体" w:cs="宋体"/>
                <w:kern w:val="0"/>
                <w:sz w:val="20"/>
                <w:szCs w:val="20"/>
              </w:rPr>
            </w:pPr>
            <w:r>
              <w:rPr>
                <w:rFonts w:hint="eastAsia" w:ascii="宋体" w:hAnsi="宋体" w:cs="宋体"/>
                <w:kern w:val="0"/>
                <w:sz w:val="20"/>
                <w:szCs w:val="20"/>
              </w:rPr>
              <w:t>行次</w:t>
            </w:r>
          </w:p>
        </w:tc>
        <w:tc>
          <w:tcPr>
            <w:tcW w:w="6760" w:type="dxa"/>
            <w:tcBorders>
              <w:top w:val="single" w:color="auto" w:sz="12" w:space="0"/>
            </w:tcBorders>
            <w:noWrap/>
            <w:vAlign w:val="center"/>
          </w:tcPr>
          <w:p w14:paraId="148D86B8">
            <w:pPr>
              <w:widowControl/>
              <w:ind w:left="2520" w:leftChars="1200" w:right="2520" w:rightChars="1200"/>
              <w:jc w:val="distribute"/>
              <w:rPr>
                <w:rFonts w:ascii="宋体" w:cs="宋体"/>
                <w:kern w:val="0"/>
                <w:sz w:val="20"/>
                <w:szCs w:val="20"/>
              </w:rPr>
            </w:pPr>
            <w:r>
              <w:rPr>
                <w:rFonts w:hint="eastAsia" w:ascii="宋体" w:hAnsi="宋体" w:cs="宋体"/>
                <w:kern w:val="0"/>
                <w:sz w:val="20"/>
                <w:szCs w:val="20"/>
              </w:rPr>
              <w:t>项目</w:t>
            </w:r>
          </w:p>
        </w:tc>
        <w:tc>
          <w:tcPr>
            <w:tcW w:w="2300" w:type="dxa"/>
            <w:tcBorders>
              <w:top w:val="single" w:color="auto" w:sz="12" w:space="0"/>
            </w:tcBorders>
            <w:noWrap/>
            <w:vAlign w:val="center"/>
          </w:tcPr>
          <w:p w14:paraId="291677F7">
            <w:pPr>
              <w:widowControl/>
              <w:jc w:val="center"/>
              <w:rPr>
                <w:rFonts w:ascii="宋体" w:cs="宋体"/>
                <w:kern w:val="0"/>
                <w:sz w:val="20"/>
                <w:szCs w:val="20"/>
              </w:rPr>
            </w:pPr>
            <w:r>
              <w:rPr>
                <w:rFonts w:hint="eastAsia" w:ascii="宋体" w:hAnsi="宋体" w:cs="宋体"/>
                <w:spacing w:val="300"/>
                <w:kern w:val="0"/>
                <w:sz w:val="20"/>
                <w:szCs w:val="20"/>
              </w:rPr>
              <w:t>金</w:t>
            </w:r>
            <w:r>
              <w:rPr>
                <w:rFonts w:hint="eastAsia" w:ascii="宋体" w:hAnsi="宋体" w:cs="宋体"/>
                <w:kern w:val="0"/>
                <w:sz w:val="20"/>
                <w:szCs w:val="20"/>
              </w:rPr>
              <w:t>额</w:t>
            </w:r>
          </w:p>
        </w:tc>
      </w:tr>
      <w:tr w14:paraId="6B10C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2920E608">
            <w:pPr>
              <w:widowControl/>
              <w:jc w:val="center"/>
              <w:rPr>
                <w:rFonts w:ascii="宋体" w:cs="宋体"/>
                <w:kern w:val="0"/>
                <w:sz w:val="20"/>
                <w:szCs w:val="20"/>
              </w:rPr>
            </w:pPr>
            <w:r>
              <w:rPr>
                <w:rFonts w:ascii="宋体" w:hAnsi="宋体" w:cs="宋体"/>
                <w:kern w:val="0"/>
                <w:sz w:val="20"/>
                <w:szCs w:val="20"/>
              </w:rPr>
              <w:t>1</w:t>
            </w:r>
          </w:p>
        </w:tc>
        <w:tc>
          <w:tcPr>
            <w:tcW w:w="6760" w:type="dxa"/>
            <w:noWrap/>
            <w:vAlign w:val="center"/>
          </w:tcPr>
          <w:p w14:paraId="015610C5">
            <w:pPr>
              <w:widowControl/>
              <w:jc w:val="left"/>
              <w:rPr>
                <w:rFonts w:ascii="宋体" w:cs="宋体"/>
                <w:kern w:val="0"/>
                <w:sz w:val="20"/>
                <w:szCs w:val="20"/>
              </w:rPr>
            </w:pPr>
            <w:r>
              <w:rPr>
                <w:rFonts w:hint="eastAsia" w:ascii="宋体" w:hAnsi="宋体" w:cs="宋体"/>
                <w:kern w:val="0"/>
                <w:sz w:val="20"/>
                <w:szCs w:val="20"/>
              </w:rPr>
              <w:t>一、营业收入（</w:t>
            </w:r>
            <w:r>
              <w:rPr>
                <w:rFonts w:ascii="宋体" w:hAnsi="宋体" w:cs="宋体"/>
                <w:kern w:val="0"/>
                <w:sz w:val="20"/>
                <w:szCs w:val="20"/>
              </w:rPr>
              <w:t>2+9</w:t>
            </w:r>
            <w:r>
              <w:rPr>
                <w:rFonts w:hint="eastAsia" w:ascii="宋体" w:hAnsi="宋体" w:cs="宋体"/>
                <w:kern w:val="0"/>
                <w:sz w:val="20"/>
                <w:szCs w:val="20"/>
              </w:rPr>
              <w:t>）</w:t>
            </w:r>
          </w:p>
        </w:tc>
        <w:tc>
          <w:tcPr>
            <w:tcW w:w="2300" w:type="dxa"/>
            <w:noWrap/>
            <w:vAlign w:val="center"/>
          </w:tcPr>
          <w:p w14:paraId="39B93833">
            <w:pPr>
              <w:widowControl/>
              <w:jc w:val="left"/>
              <w:rPr>
                <w:rFonts w:ascii="宋体" w:cs="宋体"/>
                <w:kern w:val="0"/>
                <w:sz w:val="20"/>
                <w:szCs w:val="20"/>
              </w:rPr>
            </w:pPr>
            <w:r>
              <w:rPr>
                <w:rFonts w:hint="eastAsia" w:ascii="宋体" w:hAnsi="宋体" w:cs="宋体"/>
                <w:kern w:val="0"/>
                <w:sz w:val="20"/>
                <w:szCs w:val="20"/>
              </w:rPr>
              <w:t>　</w:t>
            </w:r>
          </w:p>
        </w:tc>
      </w:tr>
      <w:tr w14:paraId="21E4F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3C1EB457">
            <w:pPr>
              <w:widowControl/>
              <w:jc w:val="center"/>
              <w:rPr>
                <w:rFonts w:ascii="宋体" w:cs="宋体"/>
                <w:kern w:val="0"/>
                <w:sz w:val="20"/>
                <w:szCs w:val="20"/>
              </w:rPr>
            </w:pPr>
            <w:r>
              <w:rPr>
                <w:rFonts w:ascii="宋体" w:hAnsi="宋体" w:cs="宋体"/>
                <w:kern w:val="0"/>
                <w:sz w:val="20"/>
                <w:szCs w:val="20"/>
              </w:rPr>
              <w:t>2</w:t>
            </w:r>
          </w:p>
        </w:tc>
        <w:tc>
          <w:tcPr>
            <w:tcW w:w="6760" w:type="dxa"/>
            <w:noWrap/>
            <w:vAlign w:val="center"/>
          </w:tcPr>
          <w:p w14:paraId="10881C0C">
            <w:pPr>
              <w:widowControl/>
              <w:ind w:firstLine="400" w:firstLineChars="200"/>
              <w:jc w:val="left"/>
              <w:rPr>
                <w:rFonts w:ascii="宋体" w:cs="宋体"/>
                <w:kern w:val="0"/>
                <w:sz w:val="20"/>
                <w:szCs w:val="20"/>
              </w:rPr>
            </w:pPr>
            <w:r>
              <w:rPr>
                <w:rFonts w:hint="eastAsia" w:ascii="宋体" w:hAnsi="宋体" w:cs="宋体"/>
                <w:kern w:val="0"/>
                <w:sz w:val="20"/>
                <w:szCs w:val="20"/>
              </w:rPr>
              <w:t>（一）主营业务收入（</w:t>
            </w:r>
            <w:r>
              <w:rPr>
                <w:rFonts w:ascii="宋体" w:hAnsi="宋体" w:cs="宋体"/>
                <w:kern w:val="0"/>
                <w:sz w:val="20"/>
                <w:szCs w:val="20"/>
              </w:rPr>
              <w:t>3+5+6+7+8</w:t>
            </w:r>
            <w:r>
              <w:rPr>
                <w:rFonts w:hint="eastAsia" w:ascii="宋体" w:hAnsi="宋体" w:cs="宋体"/>
                <w:kern w:val="0"/>
                <w:sz w:val="20"/>
                <w:szCs w:val="20"/>
              </w:rPr>
              <w:t>）</w:t>
            </w:r>
          </w:p>
        </w:tc>
        <w:tc>
          <w:tcPr>
            <w:tcW w:w="2300" w:type="dxa"/>
            <w:noWrap/>
            <w:vAlign w:val="center"/>
          </w:tcPr>
          <w:p w14:paraId="5F7D6A71">
            <w:pPr>
              <w:widowControl/>
              <w:jc w:val="left"/>
              <w:rPr>
                <w:rFonts w:ascii="宋体" w:cs="宋体"/>
                <w:kern w:val="0"/>
                <w:sz w:val="20"/>
                <w:szCs w:val="20"/>
              </w:rPr>
            </w:pPr>
            <w:r>
              <w:rPr>
                <w:rFonts w:hint="eastAsia" w:ascii="宋体" w:hAnsi="宋体" w:cs="宋体"/>
                <w:kern w:val="0"/>
                <w:sz w:val="20"/>
                <w:szCs w:val="20"/>
              </w:rPr>
              <w:t>　</w:t>
            </w:r>
          </w:p>
        </w:tc>
      </w:tr>
      <w:tr w14:paraId="760B5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03E8B42F">
            <w:pPr>
              <w:widowControl/>
              <w:jc w:val="center"/>
              <w:rPr>
                <w:rFonts w:ascii="宋体" w:cs="宋体"/>
                <w:kern w:val="0"/>
                <w:sz w:val="20"/>
                <w:szCs w:val="20"/>
              </w:rPr>
            </w:pPr>
            <w:r>
              <w:rPr>
                <w:rFonts w:ascii="宋体" w:hAnsi="宋体" w:cs="宋体"/>
                <w:kern w:val="0"/>
                <w:sz w:val="20"/>
                <w:szCs w:val="20"/>
              </w:rPr>
              <w:t>3</w:t>
            </w:r>
          </w:p>
        </w:tc>
        <w:tc>
          <w:tcPr>
            <w:tcW w:w="6760" w:type="dxa"/>
            <w:noWrap/>
            <w:vAlign w:val="center"/>
          </w:tcPr>
          <w:p w14:paraId="1A0661CA">
            <w:pPr>
              <w:widowControl/>
              <w:ind w:firstLine="800" w:firstLineChars="400"/>
              <w:jc w:val="left"/>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销售商品收入</w:t>
            </w:r>
          </w:p>
        </w:tc>
        <w:tc>
          <w:tcPr>
            <w:tcW w:w="2300" w:type="dxa"/>
            <w:noWrap/>
            <w:vAlign w:val="center"/>
          </w:tcPr>
          <w:p w14:paraId="156B0E50">
            <w:pPr>
              <w:widowControl/>
              <w:jc w:val="left"/>
              <w:rPr>
                <w:rFonts w:ascii="宋体" w:cs="宋体"/>
                <w:kern w:val="0"/>
                <w:sz w:val="20"/>
                <w:szCs w:val="20"/>
              </w:rPr>
            </w:pPr>
            <w:r>
              <w:rPr>
                <w:rFonts w:hint="eastAsia" w:ascii="宋体" w:hAnsi="宋体" w:cs="宋体"/>
                <w:kern w:val="0"/>
                <w:sz w:val="20"/>
                <w:szCs w:val="20"/>
              </w:rPr>
              <w:t>　</w:t>
            </w:r>
          </w:p>
        </w:tc>
      </w:tr>
      <w:tr w14:paraId="7767E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7C3A8798">
            <w:pPr>
              <w:widowControl/>
              <w:jc w:val="center"/>
              <w:rPr>
                <w:rFonts w:ascii="宋体" w:cs="宋体"/>
                <w:kern w:val="0"/>
                <w:sz w:val="20"/>
                <w:szCs w:val="20"/>
              </w:rPr>
            </w:pPr>
            <w:r>
              <w:rPr>
                <w:rFonts w:ascii="宋体" w:hAnsi="宋体" w:cs="宋体"/>
                <w:kern w:val="0"/>
                <w:sz w:val="20"/>
                <w:szCs w:val="20"/>
              </w:rPr>
              <w:t>4</w:t>
            </w:r>
          </w:p>
        </w:tc>
        <w:tc>
          <w:tcPr>
            <w:tcW w:w="6760" w:type="dxa"/>
            <w:noWrap/>
            <w:vAlign w:val="center"/>
          </w:tcPr>
          <w:p w14:paraId="3CFD829E">
            <w:pPr>
              <w:widowControl/>
              <w:ind w:firstLine="1000" w:firstLineChars="500"/>
              <w:jc w:val="left"/>
              <w:rPr>
                <w:rFonts w:ascii="宋体" w:cs="宋体"/>
                <w:kern w:val="0"/>
                <w:sz w:val="20"/>
                <w:szCs w:val="20"/>
              </w:rPr>
            </w:pPr>
            <w:r>
              <w:rPr>
                <w:rFonts w:hint="eastAsia" w:ascii="宋体" w:hAnsi="宋体" w:cs="宋体"/>
                <w:kern w:val="0"/>
                <w:sz w:val="20"/>
                <w:szCs w:val="20"/>
              </w:rPr>
              <w:t>其中：非货币性资产交换收入</w:t>
            </w:r>
          </w:p>
        </w:tc>
        <w:tc>
          <w:tcPr>
            <w:tcW w:w="2300" w:type="dxa"/>
            <w:noWrap/>
            <w:vAlign w:val="center"/>
          </w:tcPr>
          <w:p w14:paraId="5B3C894A">
            <w:pPr>
              <w:widowControl/>
              <w:jc w:val="left"/>
              <w:rPr>
                <w:rFonts w:ascii="宋体" w:cs="宋体"/>
                <w:kern w:val="0"/>
                <w:sz w:val="20"/>
                <w:szCs w:val="20"/>
              </w:rPr>
            </w:pPr>
            <w:r>
              <w:rPr>
                <w:rFonts w:hint="eastAsia" w:ascii="宋体" w:hAnsi="宋体" w:cs="宋体"/>
                <w:kern w:val="0"/>
                <w:sz w:val="20"/>
                <w:szCs w:val="20"/>
              </w:rPr>
              <w:t>　</w:t>
            </w:r>
          </w:p>
        </w:tc>
      </w:tr>
      <w:tr w14:paraId="330FB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5F422F91">
            <w:pPr>
              <w:widowControl/>
              <w:jc w:val="center"/>
              <w:rPr>
                <w:rFonts w:ascii="宋体" w:cs="宋体"/>
                <w:kern w:val="0"/>
                <w:sz w:val="20"/>
                <w:szCs w:val="20"/>
              </w:rPr>
            </w:pPr>
            <w:r>
              <w:rPr>
                <w:rFonts w:ascii="宋体" w:hAnsi="宋体" w:cs="宋体"/>
                <w:kern w:val="0"/>
                <w:sz w:val="20"/>
                <w:szCs w:val="20"/>
              </w:rPr>
              <w:t>5</w:t>
            </w:r>
          </w:p>
        </w:tc>
        <w:tc>
          <w:tcPr>
            <w:tcW w:w="6760" w:type="dxa"/>
            <w:noWrap/>
            <w:vAlign w:val="center"/>
          </w:tcPr>
          <w:p w14:paraId="0E140D20">
            <w:pPr>
              <w:widowControl/>
              <w:ind w:firstLine="800" w:firstLineChars="400"/>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提供劳务收入</w:t>
            </w:r>
          </w:p>
        </w:tc>
        <w:tc>
          <w:tcPr>
            <w:tcW w:w="2300" w:type="dxa"/>
            <w:noWrap/>
            <w:vAlign w:val="center"/>
          </w:tcPr>
          <w:p w14:paraId="287EF24A">
            <w:pPr>
              <w:widowControl/>
              <w:jc w:val="left"/>
              <w:rPr>
                <w:rFonts w:ascii="宋体" w:cs="宋体"/>
                <w:kern w:val="0"/>
                <w:sz w:val="20"/>
                <w:szCs w:val="20"/>
              </w:rPr>
            </w:pPr>
            <w:r>
              <w:rPr>
                <w:rFonts w:hint="eastAsia" w:ascii="宋体" w:hAnsi="宋体" w:cs="宋体"/>
                <w:kern w:val="0"/>
                <w:sz w:val="20"/>
                <w:szCs w:val="20"/>
              </w:rPr>
              <w:t>　</w:t>
            </w:r>
          </w:p>
        </w:tc>
      </w:tr>
      <w:tr w14:paraId="599DA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4489C2C8">
            <w:pPr>
              <w:widowControl/>
              <w:jc w:val="center"/>
              <w:rPr>
                <w:rFonts w:ascii="宋体" w:cs="宋体"/>
                <w:kern w:val="0"/>
                <w:sz w:val="20"/>
                <w:szCs w:val="20"/>
              </w:rPr>
            </w:pPr>
            <w:r>
              <w:rPr>
                <w:rFonts w:ascii="宋体" w:hAnsi="宋体" w:cs="宋体"/>
                <w:kern w:val="0"/>
                <w:sz w:val="20"/>
                <w:szCs w:val="20"/>
              </w:rPr>
              <w:t>6</w:t>
            </w:r>
          </w:p>
        </w:tc>
        <w:tc>
          <w:tcPr>
            <w:tcW w:w="6760" w:type="dxa"/>
            <w:noWrap/>
            <w:vAlign w:val="center"/>
          </w:tcPr>
          <w:p w14:paraId="53AEA6BE">
            <w:pPr>
              <w:widowControl/>
              <w:ind w:firstLine="800" w:firstLineChars="400"/>
              <w:jc w:val="left"/>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建造合同收入</w:t>
            </w:r>
          </w:p>
        </w:tc>
        <w:tc>
          <w:tcPr>
            <w:tcW w:w="2300" w:type="dxa"/>
            <w:noWrap/>
            <w:vAlign w:val="center"/>
          </w:tcPr>
          <w:p w14:paraId="273BB110">
            <w:pPr>
              <w:widowControl/>
              <w:jc w:val="left"/>
              <w:rPr>
                <w:rFonts w:ascii="宋体" w:cs="宋体"/>
                <w:kern w:val="0"/>
                <w:sz w:val="20"/>
                <w:szCs w:val="20"/>
              </w:rPr>
            </w:pPr>
            <w:r>
              <w:rPr>
                <w:rFonts w:hint="eastAsia" w:ascii="宋体" w:hAnsi="宋体" w:cs="宋体"/>
                <w:kern w:val="0"/>
                <w:sz w:val="20"/>
                <w:szCs w:val="20"/>
              </w:rPr>
              <w:t>　</w:t>
            </w:r>
          </w:p>
        </w:tc>
      </w:tr>
      <w:tr w14:paraId="147E5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30C7A5C2">
            <w:pPr>
              <w:widowControl/>
              <w:jc w:val="center"/>
              <w:rPr>
                <w:rFonts w:ascii="宋体" w:cs="宋体"/>
                <w:kern w:val="0"/>
                <w:sz w:val="20"/>
                <w:szCs w:val="20"/>
              </w:rPr>
            </w:pPr>
            <w:r>
              <w:rPr>
                <w:rFonts w:ascii="宋体" w:hAnsi="宋体" w:cs="宋体"/>
                <w:kern w:val="0"/>
                <w:sz w:val="20"/>
                <w:szCs w:val="20"/>
              </w:rPr>
              <w:t>7</w:t>
            </w:r>
          </w:p>
        </w:tc>
        <w:tc>
          <w:tcPr>
            <w:tcW w:w="6760" w:type="dxa"/>
            <w:noWrap/>
            <w:vAlign w:val="center"/>
          </w:tcPr>
          <w:p w14:paraId="01ECED5D">
            <w:pPr>
              <w:widowControl/>
              <w:ind w:firstLine="800" w:firstLineChars="400"/>
              <w:jc w:val="left"/>
              <w:rPr>
                <w:rFonts w:ascii="宋体" w:cs="宋体"/>
                <w:kern w:val="0"/>
                <w:sz w:val="20"/>
                <w:szCs w:val="20"/>
              </w:rPr>
            </w:pPr>
            <w:r>
              <w:rPr>
                <w:rFonts w:ascii="宋体" w:hAnsi="宋体" w:cs="宋体"/>
                <w:kern w:val="0"/>
                <w:sz w:val="20"/>
                <w:szCs w:val="20"/>
              </w:rPr>
              <w:t>4.</w:t>
            </w:r>
            <w:r>
              <w:rPr>
                <w:rFonts w:hint="eastAsia" w:ascii="宋体" w:hAnsi="宋体" w:cs="宋体"/>
                <w:kern w:val="0"/>
                <w:sz w:val="20"/>
                <w:szCs w:val="20"/>
              </w:rPr>
              <w:t>让渡资产使用权收入</w:t>
            </w:r>
          </w:p>
        </w:tc>
        <w:tc>
          <w:tcPr>
            <w:tcW w:w="2300" w:type="dxa"/>
            <w:noWrap/>
            <w:vAlign w:val="center"/>
          </w:tcPr>
          <w:p w14:paraId="2A3430AC">
            <w:pPr>
              <w:widowControl/>
              <w:jc w:val="left"/>
              <w:rPr>
                <w:rFonts w:ascii="宋体" w:cs="宋体"/>
                <w:kern w:val="0"/>
                <w:sz w:val="20"/>
                <w:szCs w:val="20"/>
              </w:rPr>
            </w:pPr>
            <w:r>
              <w:rPr>
                <w:rFonts w:hint="eastAsia" w:ascii="宋体" w:hAnsi="宋体" w:cs="宋体"/>
                <w:kern w:val="0"/>
                <w:sz w:val="20"/>
                <w:szCs w:val="20"/>
              </w:rPr>
              <w:t>　</w:t>
            </w:r>
          </w:p>
        </w:tc>
      </w:tr>
      <w:tr w14:paraId="42644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53CD0818">
            <w:pPr>
              <w:widowControl/>
              <w:jc w:val="center"/>
              <w:rPr>
                <w:rFonts w:ascii="宋体" w:cs="宋体"/>
                <w:kern w:val="0"/>
                <w:sz w:val="20"/>
                <w:szCs w:val="20"/>
              </w:rPr>
            </w:pPr>
            <w:r>
              <w:rPr>
                <w:rFonts w:ascii="宋体" w:hAnsi="宋体" w:cs="宋体"/>
                <w:kern w:val="0"/>
                <w:sz w:val="20"/>
                <w:szCs w:val="20"/>
              </w:rPr>
              <w:t>8</w:t>
            </w:r>
          </w:p>
        </w:tc>
        <w:tc>
          <w:tcPr>
            <w:tcW w:w="6760" w:type="dxa"/>
            <w:noWrap/>
            <w:vAlign w:val="center"/>
          </w:tcPr>
          <w:p w14:paraId="7243FD45">
            <w:pPr>
              <w:widowControl/>
              <w:ind w:firstLine="800" w:firstLineChars="400"/>
              <w:jc w:val="left"/>
              <w:rPr>
                <w:rFonts w:ascii="宋体" w:cs="宋体"/>
                <w:kern w:val="0"/>
                <w:sz w:val="20"/>
                <w:szCs w:val="20"/>
              </w:rPr>
            </w:pPr>
            <w:r>
              <w:rPr>
                <w:rFonts w:ascii="宋体" w:hAnsi="宋体" w:cs="宋体"/>
                <w:kern w:val="0"/>
                <w:sz w:val="20"/>
                <w:szCs w:val="20"/>
              </w:rPr>
              <w:t>5.</w:t>
            </w:r>
            <w:r>
              <w:rPr>
                <w:rFonts w:hint="eastAsia" w:ascii="宋体" w:hAnsi="宋体" w:cs="宋体"/>
                <w:kern w:val="0"/>
                <w:sz w:val="20"/>
                <w:szCs w:val="20"/>
              </w:rPr>
              <w:t>其他</w:t>
            </w:r>
          </w:p>
        </w:tc>
        <w:tc>
          <w:tcPr>
            <w:tcW w:w="2300" w:type="dxa"/>
            <w:noWrap/>
            <w:vAlign w:val="center"/>
          </w:tcPr>
          <w:p w14:paraId="2BA66CC5">
            <w:pPr>
              <w:widowControl/>
              <w:jc w:val="left"/>
              <w:rPr>
                <w:rFonts w:ascii="宋体" w:cs="宋体"/>
                <w:kern w:val="0"/>
                <w:sz w:val="20"/>
                <w:szCs w:val="20"/>
              </w:rPr>
            </w:pPr>
            <w:r>
              <w:rPr>
                <w:rFonts w:hint="eastAsia" w:ascii="宋体" w:hAnsi="宋体" w:cs="宋体"/>
                <w:kern w:val="0"/>
                <w:sz w:val="20"/>
                <w:szCs w:val="20"/>
              </w:rPr>
              <w:t>　</w:t>
            </w:r>
          </w:p>
        </w:tc>
      </w:tr>
      <w:tr w14:paraId="121D4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0E8EBBE9">
            <w:pPr>
              <w:widowControl/>
              <w:jc w:val="center"/>
              <w:rPr>
                <w:rFonts w:ascii="宋体" w:cs="宋体"/>
                <w:kern w:val="0"/>
                <w:sz w:val="20"/>
                <w:szCs w:val="20"/>
              </w:rPr>
            </w:pPr>
            <w:r>
              <w:rPr>
                <w:rFonts w:ascii="宋体" w:hAnsi="宋体" w:cs="宋体"/>
                <w:kern w:val="0"/>
                <w:sz w:val="20"/>
                <w:szCs w:val="20"/>
              </w:rPr>
              <w:t>9</w:t>
            </w:r>
          </w:p>
        </w:tc>
        <w:tc>
          <w:tcPr>
            <w:tcW w:w="6760" w:type="dxa"/>
            <w:noWrap/>
            <w:vAlign w:val="center"/>
          </w:tcPr>
          <w:p w14:paraId="5AFC1923">
            <w:pPr>
              <w:widowControl/>
              <w:ind w:firstLine="400" w:firstLineChars="200"/>
              <w:jc w:val="left"/>
              <w:rPr>
                <w:rFonts w:ascii="宋体" w:cs="宋体"/>
                <w:kern w:val="0"/>
                <w:sz w:val="20"/>
                <w:szCs w:val="20"/>
              </w:rPr>
            </w:pPr>
            <w:r>
              <w:rPr>
                <w:rFonts w:hint="eastAsia" w:ascii="宋体" w:hAnsi="宋体" w:cs="宋体"/>
                <w:kern w:val="0"/>
                <w:sz w:val="20"/>
                <w:szCs w:val="20"/>
              </w:rPr>
              <w:t>（二）其他业务收入（</w:t>
            </w:r>
            <w:r>
              <w:rPr>
                <w:rFonts w:ascii="宋体" w:hAnsi="宋体" w:cs="宋体"/>
                <w:kern w:val="0"/>
                <w:sz w:val="20"/>
                <w:szCs w:val="20"/>
              </w:rPr>
              <w:t>10+12+13+14+15</w:t>
            </w:r>
            <w:r>
              <w:rPr>
                <w:rFonts w:hint="eastAsia" w:ascii="宋体" w:hAnsi="宋体" w:cs="宋体"/>
                <w:kern w:val="0"/>
                <w:sz w:val="20"/>
                <w:szCs w:val="20"/>
              </w:rPr>
              <w:t>）</w:t>
            </w:r>
          </w:p>
        </w:tc>
        <w:tc>
          <w:tcPr>
            <w:tcW w:w="2300" w:type="dxa"/>
            <w:noWrap/>
            <w:vAlign w:val="center"/>
          </w:tcPr>
          <w:p w14:paraId="0B3554A9">
            <w:pPr>
              <w:widowControl/>
              <w:jc w:val="left"/>
              <w:rPr>
                <w:rFonts w:ascii="宋体" w:cs="宋体"/>
                <w:kern w:val="0"/>
                <w:sz w:val="20"/>
                <w:szCs w:val="20"/>
              </w:rPr>
            </w:pPr>
            <w:r>
              <w:rPr>
                <w:rFonts w:hint="eastAsia" w:ascii="宋体" w:hAnsi="宋体" w:cs="宋体"/>
                <w:kern w:val="0"/>
                <w:sz w:val="20"/>
                <w:szCs w:val="20"/>
              </w:rPr>
              <w:t>　</w:t>
            </w:r>
          </w:p>
        </w:tc>
      </w:tr>
      <w:tr w14:paraId="388B0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5C3B5BEA">
            <w:pPr>
              <w:widowControl/>
              <w:jc w:val="center"/>
              <w:rPr>
                <w:rFonts w:ascii="宋体" w:cs="宋体"/>
                <w:kern w:val="0"/>
                <w:sz w:val="20"/>
                <w:szCs w:val="20"/>
              </w:rPr>
            </w:pPr>
            <w:r>
              <w:rPr>
                <w:rFonts w:ascii="宋体" w:hAnsi="宋体" w:cs="宋体"/>
                <w:kern w:val="0"/>
                <w:sz w:val="20"/>
                <w:szCs w:val="20"/>
              </w:rPr>
              <w:t>10</w:t>
            </w:r>
          </w:p>
        </w:tc>
        <w:tc>
          <w:tcPr>
            <w:tcW w:w="6760" w:type="dxa"/>
            <w:noWrap/>
            <w:vAlign w:val="center"/>
          </w:tcPr>
          <w:p w14:paraId="17AB3143">
            <w:pPr>
              <w:widowControl/>
              <w:ind w:firstLine="800" w:firstLineChars="400"/>
              <w:jc w:val="left"/>
              <w:rPr>
                <w:rFonts w:ascii="宋体" w:cs="宋体"/>
                <w:kern w:val="0"/>
                <w:sz w:val="20"/>
                <w:szCs w:val="20"/>
              </w:rPr>
            </w:pPr>
            <w:r>
              <w:rPr>
                <w:rFonts w:ascii="宋体" w:hAnsi="宋体" w:cs="宋体"/>
                <w:kern w:val="0"/>
                <w:sz w:val="20"/>
                <w:szCs w:val="20"/>
              </w:rPr>
              <w:t>1.</w:t>
            </w:r>
            <w:r>
              <w:rPr>
                <w:rFonts w:hint="eastAsia" w:ascii="宋体" w:hAnsi="宋体" w:cs="宋体"/>
                <w:kern w:val="0"/>
                <w:sz w:val="20"/>
                <w:szCs w:val="20"/>
              </w:rPr>
              <w:t>销售材料收入</w:t>
            </w:r>
          </w:p>
        </w:tc>
        <w:tc>
          <w:tcPr>
            <w:tcW w:w="2300" w:type="dxa"/>
            <w:noWrap/>
            <w:vAlign w:val="center"/>
          </w:tcPr>
          <w:p w14:paraId="053F9BF5">
            <w:pPr>
              <w:widowControl/>
              <w:jc w:val="left"/>
              <w:rPr>
                <w:rFonts w:ascii="宋体" w:cs="宋体"/>
                <w:kern w:val="0"/>
                <w:sz w:val="20"/>
                <w:szCs w:val="20"/>
              </w:rPr>
            </w:pPr>
            <w:r>
              <w:rPr>
                <w:rFonts w:hint="eastAsia" w:ascii="宋体" w:hAnsi="宋体" w:cs="宋体"/>
                <w:kern w:val="0"/>
                <w:sz w:val="20"/>
                <w:szCs w:val="20"/>
              </w:rPr>
              <w:t>　</w:t>
            </w:r>
          </w:p>
        </w:tc>
      </w:tr>
      <w:tr w14:paraId="249FC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6F5F5C8B">
            <w:pPr>
              <w:widowControl/>
              <w:jc w:val="center"/>
              <w:rPr>
                <w:rFonts w:ascii="宋体" w:cs="宋体"/>
                <w:kern w:val="0"/>
                <w:sz w:val="20"/>
                <w:szCs w:val="20"/>
              </w:rPr>
            </w:pPr>
            <w:r>
              <w:rPr>
                <w:rFonts w:ascii="宋体" w:hAnsi="宋体" w:cs="宋体"/>
                <w:kern w:val="0"/>
                <w:sz w:val="20"/>
                <w:szCs w:val="20"/>
              </w:rPr>
              <w:t>11</w:t>
            </w:r>
          </w:p>
        </w:tc>
        <w:tc>
          <w:tcPr>
            <w:tcW w:w="6760" w:type="dxa"/>
            <w:noWrap/>
            <w:vAlign w:val="center"/>
          </w:tcPr>
          <w:p w14:paraId="43AD56A1">
            <w:pPr>
              <w:widowControl/>
              <w:ind w:firstLine="1000" w:firstLineChars="500"/>
              <w:jc w:val="left"/>
              <w:rPr>
                <w:rFonts w:ascii="宋体" w:cs="宋体"/>
                <w:kern w:val="0"/>
                <w:sz w:val="20"/>
                <w:szCs w:val="20"/>
              </w:rPr>
            </w:pPr>
            <w:r>
              <w:rPr>
                <w:rFonts w:hint="eastAsia" w:ascii="宋体" w:hAnsi="宋体" w:cs="宋体"/>
                <w:kern w:val="0"/>
                <w:sz w:val="20"/>
                <w:szCs w:val="20"/>
              </w:rPr>
              <w:t>其中：非货币性资产交换收入</w:t>
            </w:r>
          </w:p>
        </w:tc>
        <w:tc>
          <w:tcPr>
            <w:tcW w:w="2300" w:type="dxa"/>
            <w:noWrap/>
            <w:vAlign w:val="center"/>
          </w:tcPr>
          <w:p w14:paraId="304177B2">
            <w:pPr>
              <w:widowControl/>
              <w:jc w:val="left"/>
              <w:rPr>
                <w:rFonts w:ascii="宋体" w:cs="宋体"/>
                <w:kern w:val="0"/>
                <w:sz w:val="20"/>
                <w:szCs w:val="20"/>
              </w:rPr>
            </w:pPr>
            <w:r>
              <w:rPr>
                <w:rFonts w:hint="eastAsia" w:ascii="宋体" w:hAnsi="宋体" w:cs="宋体"/>
                <w:kern w:val="0"/>
                <w:sz w:val="20"/>
                <w:szCs w:val="20"/>
              </w:rPr>
              <w:t>　</w:t>
            </w:r>
          </w:p>
        </w:tc>
      </w:tr>
      <w:tr w14:paraId="59478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26A5DFBA">
            <w:pPr>
              <w:widowControl/>
              <w:jc w:val="center"/>
              <w:rPr>
                <w:rFonts w:ascii="宋体" w:cs="宋体"/>
                <w:kern w:val="0"/>
                <w:sz w:val="20"/>
                <w:szCs w:val="20"/>
              </w:rPr>
            </w:pPr>
            <w:r>
              <w:rPr>
                <w:rFonts w:ascii="宋体" w:hAnsi="宋体" w:cs="宋体"/>
                <w:kern w:val="0"/>
                <w:sz w:val="20"/>
                <w:szCs w:val="20"/>
              </w:rPr>
              <w:t>12</w:t>
            </w:r>
          </w:p>
        </w:tc>
        <w:tc>
          <w:tcPr>
            <w:tcW w:w="6760" w:type="dxa"/>
            <w:noWrap/>
            <w:vAlign w:val="center"/>
          </w:tcPr>
          <w:p w14:paraId="78383AFE">
            <w:pPr>
              <w:widowControl/>
              <w:ind w:firstLine="800" w:firstLineChars="400"/>
              <w:jc w:val="left"/>
              <w:rPr>
                <w:rFonts w:ascii="宋体" w:cs="宋体"/>
                <w:kern w:val="0"/>
                <w:sz w:val="20"/>
                <w:szCs w:val="20"/>
              </w:rPr>
            </w:pPr>
            <w:r>
              <w:rPr>
                <w:rFonts w:ascii="宋体" w:hAnsi="宋体" w:cs="宋体"/>
                <w:kern w:val="0"/>
                <w:sz w:val="20"/>
                <w:szCs w:val="20"/>
              </w:rPr>
              <w:t>2.</w:t>
            </w:r>
            <w:r>
              <w:rPr>
                <w:rFonts w:hint="eastAsia" w:ascii="宋体" w:hAnsi="宋体" w:cs="宋体"/>
                <w:kern w:val="0"/>
                <w:sz w:val="20"/>
                <w:szCs w:val="20"/>
              </w:rPr>
              <w:t>出租固定资产收入</w:t>
            </w:r>
          </w:p>
        </w:tc>
        <w:tc>
          <w:tcPr>
            <w:tcW w:w="2300" w:type="dxa"/>
            <w:noWrap/>
            <w:vAlign w:val="center"/>
          </w:tcPr>
          <w:p w14:paraId="40C93D76">
            <w:pPr>
              <w:widowControl/>
              <w:jc w:val="left"/>
              <w:rPr>
                <w:rFonts w:ascii="宋体" w:cs="宋体"/>
                <w:kern w:val="0"/>
                <w:sz w:val="20"/>
                <w:szCs w:val="20"/>
              </w:rPr>
            </w:pPr>
            <w:r>
              <w:rPr>
                <w:rFonts w:hint="eastAsia" w:ascii="宋体" w:hAnsi="宋体" w:cs="宋体"/>
                <w:kern w:val="0"/>
                <w:sz w:val="20"/>
                <w:szCs w:val="20"/>
              </w:rPr>
              <w:t>　</w:t>
            </w:r>
          </w:p>
        </w:tc>
      </w:tr>
      <w:tr w14:paraId="2CD82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50E05F64">
            <w:pPr>
              <w:widowControl/>
              <w:jc w:val="center"/>
              <w:rPr>
                <w:rFonts w:ascii="宋体" w:cs="宋体"/>
                <w:kern w:val="0"/>
                <w:sz w:val="20"/>
                <w:szCs w:val="20"/>
              </w:rPr>
            </w:pPr>
            <w:r>
              <w:rPr>
                <w:rFonts w:ascii="宋体" w:hAnsi="宋体" w:cs="宋体"/>
                <w:kern w:val="0"/>
                <w:sz w:val="20"/>
                <w:szCs w:val="20"/>
              </w:rPr>
              <w:t>13</w:t>
            </w:r>
          </w:p>
        </w:tc>
        <w:tc>
          <w:tcPr>
            <w:tcW w:w="6760" w:type="dxa"/>
            <w:noWrap/>
            <w:vAlign w:val="center"/>
          </w:tcPr>
          <w:p w14:paraId="363F3557">
            <w:pPr>
              <w:widowControl/>
              <w:ind w:firstLine="800" w:firstLineChars="400"/>
              <w:jc w:val="left"/>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出租无形资产收入</w:t>
            </w:r>
          </w:p>
        </w:tc>
        <w:tc>
          <w:tcPr>
            <w:tcW w:w="2300" w:type="dxa"/>
            <w:noWrap/>
            <w:vAlign w:val="center"/>
          </w:tcPr>
          <w:p w14:paraId="0F4624D0">
            <w:pPr>
              <w:widowControl/>
              <w:jc w:val="left"/>
              <w:rPr>
                <w:rFonts w:ascii="宋体" w:cs="宋体"/>
                <w:kern w:val="0"/>
                <w:sz w:val="20"/>
                <w:szCs w:val="20"/>
              </w:rPr>
            </w:pPr>
            <w:r>
              <w:rPr>
                <w:rFonts w:hint="eastAsia" w:ascii="宋体" w:hAnsi="宋体" w:cs="宋体"/>
                <w:kern w:val="0"/>
                <w:sz w:val="20"/>
                <w:szCs w:val="20"/>
              </w:rPr>
              <w:t>　</w:t>
            </w:r>
          </w:p>
        </w:tc>
      </w:tr>
      <w:tr w14:paraId="32C34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1792F80D">
            <w:pPr>
              <w:widowControl/>
              <w:jc w:val="center"/>
              <w:rPr>
                <w:rFonts w:ascii="宋体" w:cs="宋体"/>
                <w:kern w:val="0"/>
                <w:sz w:val="20"/>
                <w:szCs w:val="20"/>
              </w:rPr>
            </w:pPr>
            <w:r>
              <w:rPr>
                <w:rFonts w:ascii="宋体" w:hAnsi="宋体" w:cs="宋体"/>
                <w:kern w:val="0"/>
                <w:sz w:val="20"/>
                <w:szCs w:val="20"/>
              </w:rPr>
              <w:t>14</w:t>
            </w:r>
          </w:p>
        </w:tc>
        <w:tc>
          <w:tcPr>
            <w:tcW w:w="6760" w:type="dxa"/>
            <w:noWrap/>
            <w:vAlign w:val="center"/>
          </w:tcPr>
          <w:p w14:paraId="315F5B52">
            <w:pPr>
              <w:widowControl/>
              <w:ind w:firstLine="800" w:firstLineChars="400"/>
              <w:jc w:val="left"/>
              <w:rPr>
                <w:rFonts w:ascii="宋体" w:cs="宋体"/>
                <w:kern w:val="0"/>
                <w:sz w:val="20"/>
                <w:szCs w:val="20"/>
              </w:rPr>
            </w:pPr>
            <w:r>
              <w:rPr>
                <w:rFonts w:ascii="宋体" w:hAnsi="宋体" w:cs="宋体"/>
                <w:kern w:val="0"/>
                <w:sz w:val="20"/>
                <w:szCs w:val="20"/>
              </w:rPr>
              <w:t>4.</w:t>
            </w:r>
            <w:r>
              <w:rPr>
                <w:rFonts w:hint="eastAsia" w:ascii="宋体" w:hAnsi="宋体" w:cs="宋体"/>
                <w:kern w:val="0"/>
                <w:sz w:val="20"/>
                <w:szCs w:val="20"/>
              </w:rPr>
              <w:t>出租包装物和商品收入</w:t>
            </w:r>
          </w:p>
        </w:tc>
        <w:tc>
          <w:tcPr>
            <w:tcW w:w="2300" w:type="dxa"/>
            <w:noWrap/>
            <w:vAlign w:val="center"/>
          </w:tcPr>
          <w:p w14:paraId="1F9C316D">
            <w:pPr>
              <w:widowControl/>
              <w:jc w:val="left"/>
              <w:rPr>
                <w:rFonts w:ascii="宋体" w:cs="宋体"/>
                <w:kern w:val="0"/>
                <w:sz w:val="20"/>
                <w:szCs w:val="20"/>
              </w:rPr>
            </w:pPr>
            <w:r>
              <w:rPr>
                <w:rFonts w:hint="eastAsia" w:ascii="宋体" w:hAnsi="宋体" w:cs="宋体"/>
                <w:kern w:val="0"/>
                <w:sz w:val="20"/>
                <w:szCs w:val="20"/>
              </w:rPr>
              <w:t>　</w:t>
            </w:r>
          </w:p>
        </w:tc>
      </w:tr>
      <w:tr w14:paraId="305E0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3AEF67DC">
            <w:pPr>
              <w:widowControl/>
              <w:jc w:val="center"/>
              <w:rPr>
                <w:rFonts w:ascii="宋体" w:cs="宋体"/>
                <w:kern w:val="0"/>
                <w:sz w:val="20"/>
                <w:szCs w:val="20"/>
              </w:rPr>
            </w:pPr>
            <w:r>
              <w:rPr>
                <w:rFonts w:ascii="宋体" w:hAnsi="宋体" w:cs="宋体"/>
                <w:kern w:val="0"/>
                <w:sz w:val="20"/>
                <w:szCs w:val="20"/>
              </w:rPr>
              <w:t>15</w:t>
            </w:r>
          </w:p>
        </w:tc>
        <w:tc>
          <w:tcPr>
            <w:tcW w:w="6760" w:type="dxa"/>
            <w:noWrap/>
            <w:vAlign w:val="center"/>
          </w:tcPr>
          <w:p w14:paraId="3EBCA07B">
            <w:pPr>
              <w:widowControl/>
              <w:ind w:firstLine="800" w:firstLineChars="400"/>
              <w:jc w:val="left"/>
              <w:rPr>
                <w:rFonts w:ascii="宋体" w:cs="宋体"/>
                <w:kern w:val="0"/>
                <w:sz w:val="20"/>
                <w:szCs w:val="20"/>
              </w:rPr>
            </w:pPr>
            <w:r>
              <w:rPr>
                <w:rFonts w:ascii="宋体" w:hAnsi="宋体" w:cs="宋体"/>
                <w:kern w:val="0"/>
                <w:sz w:val="20"/>
                <w:szCs w:val="20"/>
              </w:rPr>
              <w:t>5.</w:t>
            </w:r>
            <w:r>
              <w:rPr>
                <w:rFonts w:hint="eastAsia" w:ascii="宋体" w:hAnsi="宋体" w:cs="宋体"/>
                <w:kern w:val="0"/>
                <w:sz w:val="20"/>
                <w:szCs w:val="20"/>
              </w:rPr>
              <w:t>其他</w:t>
            </w:r>
          </w:p>
        </w:tc>
        <w:tc>
          <w:tcPr>
            <w:tcW w:w="2300" w:type="dxa"/>
            <w:noWrap/>
            <w:vAlign w:val="center"/>
          </w:tcPr>
          <w:p w14:paraId="4254D1B1">
            <w:pPr>
              <w:widowControl/>
              <w:jc w:val="left"/>
              <w:rPr>
                <w:rFonts w:ascii="宋体" w:cs="宋体"/>
                <w:kern w:val="0"/>
                <w:sz w:val="20"/>
                <w:szCs w:val="20"/>
              </w:rPr>
            </w:pPr>
            <w:r>
              <w:rPr>
                <w:rFonts w:hint="eastAsia" w:ascii="宋体" w:hAnsi="宋体" w:cs="宋体"/>
                <w:kern w:val="0"/>
                <w:sz w:val="20"/>
                <w:szCs w:val="20"/>
              </w:rPr>
              <w:t>　</w:t>
            </w:r>
          </w:p>
        </w:tc>
      </w:tr>
      <w:tr w14:paraId="1F95FF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5717E76F">
            <w:pPr>
              <w:widowControl/>
              <w:jc w:val="center"/>
              <w:rPr>
                <w:rFonts w:ascii="宋体" w:cs="宋体"/>
                <w:kern w:val="0"/>
                <w:sz w:val="20"/>
                <w:szCs w:val="20"/>
              </w:rPr>
            </w:pPr>
            <w:r>
              <w:rPr>
                <w:rFonts w:ascii="宋体" w:hAnsi="宋体" w:cs="宋体"/>
                <w:kern w:val="0"/>
                <w:sz w:val="20"/>
                <w:szCs w:val="20"/>
              </w:rPr>
              <w:t>16</w:t>
            </w:r>
          </w:p>
        </w:tc>
        <w:tc>
          <w:tcPr>
            <w:tcW w:w="6760" w:type="dxa"/>
            <w:noWrap/>
            <w:vAlign w:val="center"/>
          </w:tcPr>
          <w:p w14:paraId="3126A2A4">
            <w:pPr>
              <w:widowControl/>
              <w:jc w:val="left"/>
              <w:rPr>
                <w:rFonts w:ascii="宋体" w:cs="宋体"/>
                <w:kern w:val="0"/>
                <w:sz w:val="20"/>
                <w:szCs w:val="20"/>
              </w:rPr>
            </w:pPr>
            <w:r>
              <w:rPr>
                <w:rFonts w:hint="eastAsia" w:ascii="宋体" w:hAnsi="宋体" w:cs="宋体"/>
                <w:kern w:val="0"/>
                <w:sz w:val="20"/>
                <w:szCs w:val="20"/>
              </w:rPr>
              <w:t>二、营业外收入（</w:t>
            </w:r>
            <w:r>
              <w:rPr>
                <w:rFonts w:ascii="宋体" w:hAnsi="宋体" w:cs="宋体"/>
                <w:kern w:val="0"/>
                <w:sz w:val="20"/>
                <w:szCs w:val="20"/>
              </w:rPr>
              <w:t>17+18+19+20+21+22+23+24+25+26</w:t>
            </w:r>
            <w:r>
              <w:rPr>
                <w:rFonts w:hint="eastAsia" w:ascii="宋体" w:hAnsi="宋体" w:cs="宋体"/>
                <w:kern w:val="0"/>
                <w:sz w:val="20"/>
                <w:szCs w:val="20"/>
              </w:rPr>
              <w:t>）</w:t>
            </w:r>
          </w:p>
        </w:tc>
        <w:tc>
          <w:tcPr>
            <w:tcW w:w="2300" w:type="dxa"/>
            <w:noWrap/>
            <w:vAlign w:val="center"/>
          </w:tcPr>
          <w:p w14:paraId="469C5EA9">
            <w:pPr>
              <w:widowControl/>
              <w:jc w:val="left"/>
              <w:rPr>
                <w:rFonts w:ascii="宋体" w:cs="宋体"/>
                <w:kern w:val="0"/>
                <w:sz w:val="20"/>
                <w:szCs w:val="20"/>
              </w:rPr>
            </w:pPr>
            <w:r>
              <w:rPr>
                <w:rFonts w:hint="eastAsia" w:ascii="宋体" w:hAnsi="宋体" w:cs="宋体"/>
                <w:kern w:val="0"/>
                <w:sz w:val="20"/>
                <w:szCs w:val="20"/>
              </w:rPr>
              <w:t>　</w:t>
            </w:r>
          </w:p>
        </w:tc>
      </w:tr>
      <w:tr w14:paraId="63DFCE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49209EFC">
            <w:pPr>
              <w:widowControl/>
              <w:jc w:val="center"/>
              <w:rPr>
                <w:rFonts w:ascii="宋体" w:cs="宋体"/>
                <w:kern w:val="0"/>
                <w:sz w:val="20"/>
                <w:szCs w:val="20"/>
              </w:rPr>
            </w:pPr>
            <w:r>
              <w:rPr>
                <w:rFonts w:ascii="宋体" w:hAnsi="宋体" w:cs="宋体"/>
                <w:kern w:val="0"/>
                <w:sz w:val="20"/>
                <w:szCs w:val="20"/>
              </w:rPr>
              <w:t>17</w:t>
            </w:r>
          </w:p>
        </w:tc>
        <w:tc>
          <w:tcPr>
            <w:tcW w:w="6760" w:type="dxa"/>
            <w:noWrap/>
            <w:vAlign w:val="center"/>
          </w:tcPr>
          <w:p w14:paraId="28418445">
            <w:pPr>
              <w:widowControl/>
              <w:ind w:firstLine="400" w:firstLineChars="200"/>
              <w:jc w:val="left"/>
              <w:rPr>
                <w:rFonts w:ascii="宋体" w:cs="宋体"/>
                <w:kern w:val="0"/>
                <w:sz w:val="20"/>
                <w:szCs w:val="20"/>
              </w:rPr>
            </w:pPr>
            <w:r>
              <w:rPr>
                <w:rFonts w:hint="eastAsia" w:ascii="宋体" w:hAnsi="宋体" w:cs="宋体"/>
                <w:kern w:val="0"/>
                <w:sz w:val="20"/>
                <w:szCs w:val="20"/>
              </w:rPr>
              <w:t>（一）非流动资产处置利得</w:t>
            </w:r>
          </w:p>
        </w:tc>
        <w:tc>
          <w:tcPr>
            <w:tcW w:w="2300" w:type="dxa"/>
            <w:noWrap/>
            <w:vAlign w:val="center"/>
          </w:tcPr>
          <w:p w14:paraId="3E19AAD4">
            <w:pPr>
              <w:widowControl/>
              <w:jc w:val="left"/>
              <w:rPr>
                <w:rFonts w:ascii="宋体" w:cs="宋体"/>
                <w:kern w:val="0"/>
                <w:sz w:val="20"/>
                <w:szCs w:val="20"/>
              </w:rPr>
            </w:pPr>
            <w:r>
              <w:rPr>
                <w:rFonts w:hint="eastAsia" w:ascii="宋体" w:hAnsi="宋体" w:cs="宋体"/>
                <w:kern w:val="0"/>
                <w:sz w:val="20"/>
                <w:szCs w:val="20"/>
              </w:rPr>
              <w:t>　</w:t>
            </w:r>
          </w:p>
        </w:tc>
      </w:tr>
      <w:tr w14:paraId="5A39C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5C871316">
            <w:pPr>
              <w:widowControl/>
              <w:jc w:val="center"/>
              <w:rPr>
                <w:rFonts w:ascii="宋体" w:cs="宋体"/>
                <w:kern w:val="0"/>
                <w:sz w:val="20"/>
                <w:szCs w:val="20"/>
              </w:rPr>
            </w:pPr>
            <w:r>
              <w:rPr>
                <w:rFonts w:ascii="宋体" w:hAnsi="宋体" w:cs="宋体"/>
                <w:kern w:val="0"/>
                <w:sz w:val="20"/>
                <w:szCs w:val="20"/>
              </w:rPr>
              <w:t>18</w:t>
            </w:r>
          </w:p>
        </w:tc>
        <w:tc>
          <w:tcPr>
            <w:tcW w:w="6760" w:type="dxa"/>
            <w:noWrap/>
            <w:vAlign w:val="center"/>
          </w:tcPr>
          <w:p w14:paraId="01E4D0D0">
            <w:pPr>
              <w:widowControl/>
              <w:ind w:firstLine="400" w:firstLineChars="200"/>
              <w:jc w:val="left"/>
              <w:rPr>
                <w:rFonts w:ascii="宋体" w:cs="宋体"/>
                <w:kern w:val="0"/>
                <w:sz w:val="20"/>
                <w:szCs w:val="20"/>
              </w:rPr>
            </w:pPr>
            <w:r>
              <w:rPr>
                <w:rFonts w:hint="eastAsia" w:ascii="宋体" w:hAnsi="宋体" w:cs="宋体"/>
                <w:kern w:val="0"/>
                <w:sz w:val="20"/>
                <w:szCs w:val="20"/>
              </w:rPr>
              <w:t>（二）非货币性资产交换利得</w:t>
            </w:r>
          </w:p>
        </w:tc>
        <w:tc>
          <w:tcPr>
            <w:tcW w:w="2300" w:type="dxa"/>
            <w:noWrap/>
            <w:vAlign w:val="center"/>
          </w:tcPr>
          <w:p w14:paraId="6E975B84">
            <w:pPr>
              <w:widowControl/>
              <w:jc w:val="left"/>
              <w:rPr>
                <w:rFonts w:ascii="宋体" w:cs="宋体"/>
                <w:kern w:val="0"/>
                <w:sz w:val="20"/>
                <w:szCs w:val="20"/>
              </w:rPr>
            </w:pPr>
            <w:r>
              <w:rPr>
                <w:rFonts w:hint="eastAsia" w:ascii="宋体" w:hAnsi="宋体" w:cs="宋体"/>
                <w:kern w:val="0"/>
                <w:sz w:val="20"/>
                <w:szCs w:val="20"/>
              </w:rPr>
              <w:t>　</w:t>
            </w:r>
          </w:p>
        </w:tc>
      </w:tr>
      <w:tr w14:paraId="4E349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55795271">
            <w:pPr>
              <w:widowControl/>
              <w:jc w:val="center"/>
              <w:rPr>
                <w:rFonts w:ascii="宋体" w:cs="宋体"/>
                <w:kern w:val="0"/>
                <w:sz w:val="20"/>
                <w:szCs w:val="20"/>
              </w:rPr>
            </w:pPr>
            <w:r>
              <w:rPr>
                <w:rFonts w:ascii="宋体" w:hAnsi="宋体" w:cs="宋体"/>
                <w:kern w:val="0"/>
                <w:sz w:val="20"/>
                <w:szCs w:val="20"/>
              </w:rPr>
              <w:t>19</w:t>
            </w:r>
          </w:p>
        </w:tc>
        <w:tc>
          <w:tcPr>
            <w:tcW w:w="6760" w:type="dxa"/>
            <w:noWrap/>
            <w:vAlign w:val="center"/>
          </w:tcPr>
          <w:p w14:paraId="7872A3E4">
            <w:pPr>
              <w:widowControl/>
              <w:ind w:firstLine="400" w:firstLineChars="200"/>
              <w:jc w:val="left"/>
              <w:rPr>
                <w:rFonts w:ascii="宋体" w:cs="宋体"/>
                <w:kern w:val="0"/>
                <w:sz w:val="20"/>
                <w:szCs w:val="20"/>
              </w:rPr>
            </w:pPr>
            <w:r>
              <w:rPr>
                <w:rFonts w:hint="eastAsia" w:ascii="宋体" w:hAnsi="宋体" w:cs="宋体"/>
                <w:kern w:val="0"/>
                <w:sz w:val="20"/>
                <w:szCs w:val="20"/>
              </w:rPr>
              <w:t>（三）债务重组利得</w:t>
            </w:r>
          </w:p>
        </w:tc>
        <w:tc>
          <w:tcPr>
            <w:tcW w:w="2300" w:type="dxa"/>
            <w:noWrap/>
            <w:vAlign w:val="center"/>
          </w:tcPr>
          <w:p w14:paraId="5462C511">
            <w:pPr>
              <w:widowControl/>
              <w:jc w:val="left"/>
              <w:rPr>
                <w:rFonts w:ascii="宋体" w:cs="宋体"/>
                <w:kern w:val="0"/>
                <w:sz w:val="20"/>
                <w:szCs w:val="20"/>
              </w:rPr>
            </w:pPr>
            <w:r>
              <w:rPr>
                <w:rFonts w:hint="eastAsia" w:ascii="宋体" w:hAnsi="宋体" w:cs="宋体"/>
                <w:kern w:val="0"/>
                <w:sz w:val="20"/>
                <w:szCs w:val="20"/>
              </w:rPr>
              <w:t>　</w:t>
            </w:r>
          </w:p>
        </w:tc>
      </w:tr>
      <w:tr w14:paraId="50D6E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3DF92843">
            <w:pPr>
              <w:widowControl/>
              <w:jc w:val="center"/>
              <w:rPr>
                <w:rFonts w:ascii="宋体" w:cs="宋体"/>
                <w:kern w:val="0"/>
                <w:sz w:val="20"/>
                <w:szCs w:val="20"/>
              </w:rPr>
            </w:pPr>
            <w:r>
              <w:rPr>
                <w:rFonts w:ascii="宋体" w:hAnsi="宋体" w:cs="宋体"/>
                <w:kern w:val="0"/>
                <w:sz w:val="20"/>
                <w:szCs w:val="20"/>
              </w:rPr>
              <w:t>20</w:t>
            </w:r>
          </w:p>
        </w:tc>
        <w:tc>
          <w:tcPr>
            <w:tcW w:w="6760" w:type="dxa"/>
            <w:noWrap/>
            <w:vAlign w:val="center"/>
          </w:tcPr>
          <w:p w14:paraId="277B940D">
            <w:pPr>
              <w:widowControl/>
              <w:ind w:firstLine="400" w:firstLineChars="200"/>
              <w:jc w:val="left"/>
              <w:rPr>
                <w:rFonts w:ascii="宋体" w:cs="宋体"/>
                <w:kern w:val="0"/>
                <w:sz w:val="20"/>
                <w:szCs w:val="20"/>
              </w:rPr>
            </w:pPr>
            <w:r>
              <w:rPr>
                <w:rFonts w:hint="eastAsia" w:ascii="宋体" w:hAnsi="宋体" w:cs="宋体"/>
                <w:kern w:val="0"/>
                <w:sz w:val="20"/>
                <w:szCs w:val="20"/>
              </w:rPr>
              <w:t>（四）政府补助利得</w:t>
            </w:r>
          </w:p>
        </w:tc>
        <w:tc>
          <w:tcPr>
            <w:tcW w:w="2300" w:type="dxa"/>
            <w:noWrap/>
            <w:vAlign w:val="center"/>
          </w:tcPr>
          <w:p w14:paraId="4EB68F2A">
            <w:pPr>
              <w:widowControl/>
              <w:jc w:val="left"/>
              <w:rPr>
                <w:rFonts w:ascii="宋体" w:cs="宋体"/>
                <w:kern w:val="0"/>
                <w:sz w:val="20"/>
                <w:szCs w:val="20"/>
              </w:rPr>
            </w:pPr>
            <w:r>
              <w:rPr>
                <w:rFonts w:hint="eastAsia" w:ascii="宋体" w:hAnsi="宋体" w:cs="宋体"/>
                <w:kern w:val="0"/>
                <w:sz w:val="20"/>
                <w:szCs w:val="20"/>
              </w:rPr>
              <w:t>　</w:t>
            </w:r>
          </w:p>
        </w:tc>
      </w:tr>
      <w:tr w14:paraId="47AD7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3C43AE00">
            <w:pPr>
              <w:widowControl/>
              <w:jc w:val="center"/>
              <w:rPr>
                <w:rFonts w:ascii="宋体" w:cs="宋体"/>
                <w:kern w:val="0"/>
                <w:sz w:val="20"/>
                <w:szCs w:val="20"/>
              </w:rPr>
            </w:pPr>
            <w:r>
              <w:rPr>
                <w:rFonts w:ascii="宋体" w:hAnsi="宋体" w:cs="宋体"/>
                <w:kern w:val="0"/>
                <w:sz w:val="20"/>
                <w:szCs w:val="20"/>
              </w:rPr>
              <w:t>21</w:t>
            </w:r>
          </w:p>
        </w:tc>
        <w:tc>
          <w:tcPr>
            <w:tcW w:w="6760" w:type="dxa"/>
            <w:noWrap/>
            <w:vAlign w:val="center"/>
          </w:tcPr>
          <w:p w14:paraId="21159238">
            <w:pPr>
              <w:widowControl/>
              <w:ind w:firstLine="400" w:firstLineChars="200"/>
              <w:jc w:val="left"/>
              <w:rPr>
                <w:rFonts w:ascii="宋体" w:cs="宋体"/>
                <w:kern w:val="0"/>
                <w:sz w:val="20"/>
                <w:szCs w:val="20"/>
              </w:rPr>
            </w:pPr>
            <w:r>
              <w:rPr>
                <w:rFonts w:hint="eastAsia" w:ascii="宋体" w:hAnsi="宋体" w:cs="宋体"/>
                <w:kern w:val="0"/>
                <w:sz w:val="20"/>
                <w:szCs w:val="20"/>
              </w:rPr>
              <w:t>（五）盘盈利得</w:t>
            </w:r>
          </w:p>
        </w:tc>
        <w:tc>
          <w:tcPr>
            <w:tcW w:w="2300" w:type="dxa"/>
            <w:noWrap/>
            <w:vAlign w:val="center"/>
          </w:tcPr>
          <w:p w14:paraId="63AA9174">
            <w:pPr>
              <w:widowControl/>
              <w:jc w:val="left"/>
              <w:rPr>
                <w:rFonts w:ascii="宋体" w:cs="宋体"/>
                <w:kern w:val="0"/>
                <w:sz w:val="20"/>
                <w:szCs w:val="20"/>
              </w:rPr>
            </w:pPr>
            <w:r>
              <w:rPr>
                <w:rFonts w:hint="eastAsia" w:ascii="宋体" w:hAnsi="宋体" w:cs="宋体"/>
                <w:kern w:val="0"/>
                <w:sz w:val="20"/>
                <w:szCs w:val="20"/>
              </w:rPr>
              <w:t>　</w:t>
            </w:r>
          </w:p>
        </w:tc>
      </w:tr>
      <w:tr w14:paraId="4DD19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74CC73CF">
            <w:pPr>
              <w:widowControl/>
              <w:jc w:val="center"/>
              <w:rPr>
                <w:rFonts w:ascii="宋体" w:cs="宋体"/>
                <w:kern w:val="0"/>
                <w:sz w:val="20"/>
                <w:szCs w:val="20"/>
              </w:rPr>
            </w:pPr>
            <w:r>
              <w:rPr>
                <w:rFonts w:ascii="宋体" w:hAnsi="宋体" w:cs="宋体"/>
                <w:kern w:val="0"/>
                <w:sz w:val="20"/>
                <w:szCs w:val="20"/>
              </w:rPr>
              <w:t>22</w:t>
            </w:r>
          </w:p>
        </w:tc>
        <w:tc>
          <w:tcPr>
            <w:tcW w:w="6760" w:type="dxa"/>
            <w:noWrap/>
            <w:vAlign w:val="center"/>
          </w:tcPr>
          <w:p w14:paraId="41ED768D">
            <w:pPr>
              <w:widowControl/>
              <w:ind w:firstLine="400" w:firstLineChars="200"/>
              <w:jc w:val="left"/>
              <w:rPr>
                <w:rFonts w:ascii="宋体" w:cs="宋体"/>
                <w:kern w:val="0"/>
                <w:sz w:val="20"/>
                <w:szCs w:val="20"/>
              </w:rPr>
            </w:pPr>
            <w:r>
              <w:rPr>
                <w:rFonts w:hint="eastAsia" w:ascii="宋体" w:hAnsi="宋体" w:cs="宋体"/>
                <w:kern w:val="0"/>
                <w:sz w:val="20"/>
                <w:szCs w:val="20"/>
              </w:rPr>
              <w:t>（六）捐赠利得</w:t>
            </w:r>
          </w:p>
        </w:tc>
        <w:tc>
          <w:tcPr>
            <w:tcW w:w="2300" w:type="dxa"/>
            <w:noWrap/>
            <w:vAlign w:val="center"/>
          </w:tcPr>
          <w:p w14:paraId="7840D16E">
            <w:pPr>
              <w:widowControl/>
              <w:jc w:val="left"/>
              <w:rPr>
                <w:rFonts w:ascii="宋体" w:cs="宋体"/>
                <w:kern w:val="0"/>
                <w:sz w:val="20"/>
                <w:szCs w:val="20"/>
              </w:rPr>
            </w:pPr>
            <w:r>
              <w:rPr>
                <w:rFonts w:hint="eastAsia" w:ascii="宋体" w:hAnsi="宋体" w:cs="宋体"/>
                <w:kern w:val="0"/>
                <w:sz w:val="20"/>
                <w:szCs w:val="20"/>
              </w:rPr>
              <w:t>　</w:t>
            </w:r>
          </w:p>
        </w:tc>
      </w:tr>
      <w:tr w14:paraId="32CC9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205D156D">
            <w:pPr>
              <w:widowControl/>
              <w:jc w:val="center"/>
              <w:rPr>
                <w:rFonts w:ascii="宋体" w:cs="宋体"/>
                <w:kern w:val="0"/>
                <w:sz w:val="20"/>
                <w:szCs w:val="20"/>
              </w:rPr>
            </w:pPr>
            <w:r>
              <w:rPr>
                <w:rFonts w:ascii="宋体" w:hAnsi="宋体" w:cs="宋体"/>
                <w:kern w:val="0"/>
                <w:sz w:val="20"/>
                <w:szCs w:val="20"/>
              </w:rPr>
              <w:t>23</w:t>
            </w:r>
          </w:p>
        </w:tc>
        <w:tc>
          <w:tcPr>
            <w:tcW w:w="6760" w:type="dxa"/>
            <w:noWrap/>
            <w:vAlign w:val="center"/>
          </w:tcPr>
          <w:p w14:paraId="3D6BD32D">
            <w:pPr>
              <w:widowControl/>
              <w:ind w:firstLine="400" w:firstLineChars="200"/>
              <w:jc w:val="left"/>
              <w:rPr>
                <w:rFonts w:ascii="宋体" w:cs="宋体"/>
                <w:kern w:val="0"/>
                <w:sz w:val="20"/>
                <w:szCs w:val="20"/>
              </w:rPr>
            </w:pPr>
            <w:r>
              <w:rPr>
                <w:rFonts w:hint="eastAsia" w:ascii="宋体" w:hAnsi="宋体" w:cs="宋体"/>
                <w:kern w:val="0"/>
                <w:sz w:val="20"/>
                <w:szCs w:val="20"/>
              </w:rPr>
              <w:t>（七）罚没利得</w:t>
            </w:r>
          </w:p>
        </w:tc>
        <w:tc>
          <w:tcPr>
            <w:tcW w:w="2300" w:type="dxa"/>
            <w:noWrap/>
            <w:vAlign w:val="center"/>
          </w:tcPr>
          <w:p w14:paraId="6B2F9E7C">
            <w:pPr>
              <w:widowControl/>
              <w:jc w:val="left"/>
              <w:rPr>
                <w:rFonts w:ascii="宋体" w:cs="宋体"/>
                <w:kern w:val="0"/>
                <w:sz w:val="20"/>
                <w:szCs w:val="20"/>
              </w:rPr>
            </w:pPr>
            <w:r>
              <w:rPr>
                <w:rFonts w:hint="eastAsia" w:ascii="宋体" w:hAnsi="宋体" w:cs="宋体"/>
                <w:kern w:val="0"/>
                <w:sz w:val="20"/>
                <w:szCs w:val="20"/>
              </w:rPr>
              <w:t>　</w:t>
            </w:r>
          </w:p>
        </w:tc>
      </w:tr>
      <w:tr w14:paraId="21FCB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4E19C5B8">
            <w:pPr>
              <w:widowControl/>
              <w:jc w:val="center"/>
              <w:rPr>
                <w:rFonts w:ascii="宋体" w:cs="宋体"/>
                <w:kern w:val="0"/>
                <w:sz w:val="20"/>
                <w:szCs w:val="20"/>
              </w:rPr>
            </w:pPr>
            <w:r>
              <w:rPr>
                <w:rFonts w:ascii="宋体" w:hAnsi="宋体" w:cs="宋体"/>
                <w:kern w:val="0"/>
                <w:sz w:val="20"/>
                <w:szCs w:val="20"/>
              </w:rPr>
              <w:t>24</w:t>
            </w:r>
          </w:p>
        </w:tc>
        <w:tc>
          <w:tcPr>
            <w:tcW w:w="6760" w:type="dxa"/>
            <w:noWrap/>
            <w:vAlign w:val="center"/>
          </w:tcPr>
          <w:p w14:paraId="592D28A5">
            <w:pPr>
              <w:widowControl/>
              <w:ind w:firstLine="400" w:firstLineChars="200"/>
              <w:jc w:val="left"/>
              <w:rPr>
                <w:rFonts w:ascii="宋体" w:cs="宋体"/>
                <w:kern w:val="0"/>
                <w:sz w:val="20"/>
                <w:szCs w:val="20"/>
              </w:rPr>
            </w:pPr>
            <w:r>
              <w:rPr>
                <w:rFonts w:hint="eastAsia" w:ascii="宋体" w:hAnsi="宋体" w:cs="宋体"/>
                <w:kern w:val="0"/>
                <w:sz w:val="20"/>
                <w:szCs w:val="20"/>
              </w:rPr>
              <w:t>（八）确实无法偿付的应付款项</w:t>
            </w:r>
          </w:p>
        </w:tc>
        <w:tc>
          <w:tcPr>
            <w:tcW w:w="2300" w:type="dxa"/>
            <w:noWrap/>
            <w:vAlign w:val="center"/>
          </w:tcPr>
          <w:p w14:paraId="2712C715">
            <w:pPr>
              <w:widowControl/>
              <w:jc w:val="left"/>
              <w:rPr>
                <w:rFonts w:ascii="宋体" w:cs="宋体"/>
                <w:kern w:val="0"/>
                <w:sz w:val="20"/>
                <w:szCs w:val="20"/>
              </w:rPr>
            </w:pPr>
            <w:r>
              <w:rPr>
                <w:rFonts w:hint="eastAsia" w:ascii="宋体" w:hAnsi="宋体" w:cs="宋体"/>
                <w:kern w:val="0"/>
                <w:sz w:val="20"/>
                <w:szCs w:val="20"/>
              </w:rPr>
              <w:t>　</w:t>
            </w:r>
          </w:p>
        </w:tc>
      </w:tr>
      <w:tr w14:paraId="09125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noWrap/>
            <w:vAlign w:val="center"/>
          </w:tcPr>
          <w:p w14:paraId="104CE464">
            <w:pPr>
              <w:widowControl/>
              <w:jc w:val="center"/>
              <w:rPr>
                <w:rFonts w:ascii="宋体" w:cs="宋体"/>
                <w:kern w:val="0"/>
                <w:sz w:val="20"/>
                <w:szCs w:val="20"/>
              </w:rPr>
            </w:pPr>
            <w:r>
              <w:rPr>
                <w:rFonts w:ascii="宋体" w:hAnsi="宋体" w:cs="宋体"/>
                <w:kern w:val="0"/>
                <w:sz w:val="20"/>
                <w:szCs w:val="20"/>
              </w:rPr>
              <w:t>25</w:t>
            </w:r>
          </w:p>
        </w:tc>
        <w:tc>
          <w:tcPr>
            <w:tcW w:w="6760" w:type="dxa"/>
            <w:noWrap/>
            <w:vAlign w:val="center"/>
          </w:tcPr>
          <w:p w14:paraId="1275E404">
            <w:pPr>
              <w:widowControl/>
              <w:ind w:firstLine="400" w:firstLineChars="200"/>
              <w:jc w:val="left"/>
              <w:rPr>
                <w:rFonts w:ascii="宋体" w:cs="宋体"/>
                <w:kern w:val="0"/>
                <w:sz w:val="20"/>
                <w:szCs w:val="20"/>
              </w:rPr>
            </w:pPr>
            <w:r>
              <w:rPr>
                <w:rFonts w:hint="eastAsia" w:ascii="宋体" w:hAnsi="宋体" w:cs="宋体"/>
                <w:kern w:val="0"/>
                <w:sz w:val="20"/>
                <w:szCs w:val="20"/>
              </w:rPr>
              <w:t>（九）汇兑收益</w:t>
            </w:r>
          </w:p>
        </w:tc>
        <w:tc>
          <w:tcPr>
            <w:tcW w:w="2300" w:type="dxa"/>
            <w:noWrap/>
            <w:vAlign w:val="center"/>
          </w:tcPr>
          <w:p w14:paraId="36370B21">
            <w:pPr>
              <w:widowControl/>
              <w:jc w:val="left"/>
              <w:rPr>
                <w:rFonts w:ascii="宋体" w:cs="宋体"/>
                <w:kern w:val="0"/>
                <w:sz w:val="20"/>
                <w:szCs w:val="20"/>
              </w:rPr>
            </w:pPr>
            <w:r>
              <w:rPr>
                <w:rFonts w:hint="eastAsia" w:ascii="宋体" w:hAnsi="宋体" w:cs="宋体"/>
                <w:kern w:val="0"/>
                <w:sz w:val="20"/>
                <w:szCs w:val="20"/>
              </w:rPr>
              <w:t>　</w:t>
            </w:r>
          </w:p>
        </w:tc>
      </w:tr>
      <w:tr w14:paraId="4394E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tcBorders>
              <w:bottom w:val="single" w:color="auto" w:sz="12" w:space="0"/>
            </w:tcBorders>
            <w:noWrap/>
            <w:vAlign w:val="center"/>
          </w:tcPr>
          <w:p w14:paraId="2C03DFFA">
            <w:pPr>
              <w:widowControl/>
              <w:jc w:val="center"/>
              <w:rPr>
                <w:rFonts w:ascii="宋体" w:cs="宋体"/>
                <w:kern w:val="0"/>
                <w:sz w:val="20"/>
                <w:szCs w:val="20"/>
              </w:rPr>
            </w:pPr>
            <w:r>
              <w:rPr>
                <w:rFonts w:ascii="宋体" w:hAnsi="宋体" w:cs="宋体"/>
                <w:kern w:val="0"/>
                <w:sz w:val="20"/>
                <w:szCs w:val="20"/>
              </w:rPr>
              <w:t>26</w:t>
            </w:r>
          </w:p>
        </w:tc>
        <w:tc>
          <w:tcPr>
            <w:tcW w:w="6760" w:type="dxa"/>
            <w:tcBorders>
              <w:bottom w:val="single" w:color="auto" w:sz="12" w:space="0"/>
            </w:tcBorders>
            <w:noWrap/>
            <w:vAlign w:val="center"/>
          </w:tcPr>
          <w:p w14:paraId="2689991D">
            <w:pPr>
              <w:widowControl/>
              <w:ind w:firstLine="400" w:firstLineChars="200"/>
              <w:jc w:val="left"/>
              <w:rPr>
                <w:rFonts w:ascii="宋体" w:cs="宋体"/>
                <w:kern w:val="0"/>
                <w:sz w:val="20"/>
                <w:szCs w:val="20"/>
              </w:rPr>
            </w:pPr>
            <w:r>
              <w:rPr>
                <w:rFonts w:hint="eastAsia" w:ascii="宋体" w:hAnsi="宋体" w:cs="宋体"/>
                <w:kern w:val="0"/>
                <w:sz w:val="20"/>
                <w:szCs w:val="20"/>
              </w:rPr>
              <w:t>（十）其他</w:t>
            </w:r>
          </w:p>
        </w:tc>
        <w:tc>
          <w:tcPr>
            <w:tcW w:w="2300" w:type="dxa"/>
            <w:tcBorders>
              <w:bottom w:val="single" w:color="auto" w:sz="12" w:space="0"/>
            </w:tcBorders>
            <w:noWrap/>
            <w:vAlign w:val="center"/>
          </w:tcPr>
          <w:p w14:paraId="187DE5F9">
            <w:pPr>
              <w:widowControl/>
              <w:jc w:val="left"/>
              <w:rPr>
                <w:rFonts w:ascii="宋体" w:cs="宋体"/>
                <w:kern w:val="0"/>
                <w:sz w:val="20"/>
                <w:szCs w:val="20"/>
              </w:rPr>
            </w:pPr>
            <w:r>
              <w:rPr>
                <w:rFonts w:hint="eastAsia" w:ascii="宋体" w:hAnsi="宋体" w:cs="宋体"/>
                <w:kern w:val="0"/>
                <w:sz w:val="20"/>
                <w:szCs w:val="20"/>
              </w:rPr>
              <w:t>　</w:t>
            </w:r>
          </w:p>
        </w:tc>
      </w:tr>
    </w:tbl>
    <w:p w14:paraId="374BB4A3">
      <w:pPr>
        <w:pStyle w:val="56"/>
      </w:pPr>
    </w:p>
    <w:p w14:paraId="5698F18F">
      <w:pPr>
        <w:pStyle w:val="61"/>
        <w:sectPr>
          <w:footerReference r:id="rId3" w:type="first"/>
          <w:type w:val="evenPage"/>
          <w:pgSz w:w="11906" w:h="16838"/>
          <w:pgMar w:top="1418" w:right="1418" w:bottom="1928" w:left="1418" w:header="851" w:footer="992" w:gutter="113"/>
          <w:cols w:space="425" w:num="1"/>
          <w:titlePg/>
          <w:docGrid w:linePitch="312" w:charSpace="0"/>
        </w:sectPr>
      </w:pPr>
    </w:p>
    <w:p w14:paraId="168110ED">
      <w:pPr>
        <w:pStyle w:val="57"/>
        <w:spacing w:before="240" w:after="360"/>
      </w:pPr>
      <w:bookmarkStart w:id="2" w:name="_Toc535314709"/>
      <w:r>
        <w:t>A101010</w:t>
      </w:r>
      <w:r>
        <w:tab/>
      </w:r>
      <w:r>
        <w:rPr>
          <w:rFonts w:hint="eastAsia"/>
        </w:rPr>
        <w:t>《一般企业收入明细表》填报说明</w:t>
      </w:r>
      <w:bookmarkEnd w:id="1"/>
      <w:bookmarkEnd w:id="2"/>
    </w:p>
    <w:p w14:paraId="57B673F8">
      <w:pPr>
        <w:pStyle w:val="56"/>
        <w:ind w:firstLine="480"/>
        <w:rPr>
          <w:rFonts w:hint="eastAsia"/>
          <w:color w:val="auto"/>
        </w:rPr>
      </w:pPr>
      <w:r>
        <w:rPr>
          <w:rFonts w:hint="eastAsia"/>
          <w:color w:val="auto"/>
        </w:rPr>
        <w:t>本表适用于除金融企业、事业单位和民间非营利组织外的企业填报。纳税人应根据国家统一会计制度的规定，填报“主营业务收入”“其他业务收入”和“营业外收入”。</w:t>
      </w:r>
    </w:p>
    <w:p w14:paraId="4EE75A73">
      <w:pPr>
        <w:pStyle w:val="59"/>
        <w:ind w:firstLine="482"/>
        <w:rPr>
          <w:rFonts w:hint="eastAsia"/>
          <w:color w:val="auto"/>
        </w:rPr>
      </w:pPr>
      <w:bookmarkStart w:id="3" w:name="_Toc393480186"/>
      <w:r>
        <w:rPr>
          <w:rFonts w:hint="eastAsia"/>
          <w:color w:val="auto"/>
        </w:rPr>
        <w:t>一、有关项目填报说明</w:t>
      </w:r>
      <w:bookmarkEnd w:id="3"/>
    </w:p>
    <w:p w14:paraId="3D430B5D">
      <w:pPr>
        <w:pStyle w:val="56"/>
        <w:ind w:firstLine="480"/>
        <w:rPr>
          <w:rFonts w:hint="eastAsia"/>
          <w:color w:val="auto"/>
        </w:rPr>
      </w:pPr>
      <w:r>
        <w:rPr>
          <w:color w:val="auto"/>
        </w:rPr>
        <w:t>1</w:t>
      </w:r>
      <w:r>
        <w:rPr>
          <w:rFonts w:hint="eastAsia"/>
          <w:color w:val="auto"/>
        </w:rPr>
        <w:t>.第</w:t>
      </w:r>
      <w:r>
        <w:rPr>
          <w:color w:val="auto"/>
        </w:rPr>
        <w:t>1</w:t>
      </w:r>
      <w:r>
        <w:rPr>
          <w:rFonts w:hint="eastAsia"/>
          <w:color w:val="auto"/>
        </w:rPr>
        <w:t>行“营业收入”：根据主营业务收入、其他业务收入的数额计算填报。</w:t>
      </w:r>
    </w:p>
    <w:p w14:paraId="7DDDD355">
      <w:pPr>
        <w:pStyle w:val="56"/>
        <w:ind w:firstLine="480"/>
        <w:rPr>
          <w:rFonts w:hint="eastAsia"/>
          <w:color w:val="auto"/>
        </w:rPr>
      </w:pPr>
      <w:r>
        <w:rPr>
          <w:color w:val="auto"/>
        </w:rPr>
        <w:t>2.</w:t>
      </w:r>
      <w:r>
        <w:rPr>
          <w:rFonts w:hint="eastAsia"/>
          <w:color w:val="auto"/>
        </w:rPr>
        <w:t>第</w:t>
      </w:r>
      <w:r>
        <w:rPr>
          <w:color w:val="auto"/>
        </w:rPr>
        <w:t>2</w:t>
      </w:r>
      <w:r>
        <w:rPr>
          <w:rFonts w:hint="eastAsia"/>
          <w:color w:val="auto"/>
        </w:rPr>
        <w:t>行“主营业务收入”：根据不同行业的业务性质分别填报纳税人核算的主营业务收入。</w:t>
      </w:r>
    </w:p>
    <w:p w14:paraId="35DEDE69">
      <w:pPr>
        <w:pStyle w:val="56"/>
        <w:ind w:firstLine="480"/>
        <w:rPr>
          <w:rFonts w:hint="eastAsia"/>
          <w:color w:val="auto"/>
        </w:rPr>
      </w:pPr>
      <w:r>
        <w:rPr>
          <w:rFonts w:cs="宋体"/>
          <w:color w:val="auto"/>
        </w:rPr>
        <w:t>3.</w:t>
      </w:r>
      <w:r>
        <w:rPr>
          <w:rFonts w:hint="eastAsia" w:cs="宋体"/>
          <w:color w:val="auto"/>
        </w:rPr>
        <w:t>第</w:t>
      </w:r>
      <w:r>
        <w:rPr>
          <w:rFonts w:cs="宋体"/>
          <w:color w:val="auto"/>
        </w:rPr>
        <w:t>3</w:t>
      </w:r>
      <w:r>
        <w:rPr>
          <w:rFonts w:hint="eastAsia" w:cs="宋体"/>
          <w:color w:val="auto"/>
        </w:rPr>
        <w:t>行“销售商品收入”：</w:t>
      </w:r>
      <w:r>
        <w:rPr>
          <w:rFonts w:hint="eastAsia"/>
          <w:color w:val="auto"/>
        </w:rPr>
        <w:t>填报纳税人从事工业制造、商品流通、农业生产以及其他商品销售活动取得的主营业务收入。房地产开发企业销售开发产品（销售未完工开发产品除外）取得的收入也在此行填报。</w:t>
      </w:r>
    </w:p>
    <w:p w14:paraId="2347A429">
      <w:pPr>
        <w:pStyle w:val="56"/>
        <w:ind w:firstLine="480"/>
        <w:rPr>
          <w:rFonts w:hint="eastAsia"/>
          <w:color w:val="auto"/>
        </w:rPr>
      </w:pPr>
      <w:r>
        <w:rPr>
          <w:rFonts w:cs="宋体"/>
          <w:color w:val="auto"/>
        </w:rPr>
        <w:t>4.</w:t>
      </w:r>
      <w:r>
        <w:rPr>
          <w:rFonts w:hint="eastAsia" w:cs="宋体"/>
          <w:color w:val="auto"/>
        </w:rPr>
        <w:t>第</w:t>
      </w:r>
      <w:r>
        <w:rPr>
          <w:rFonts w:cs="宋体"/>
          <w:color w:val="auto"/>
        </w:rPr>
        <w:t>4</w:t>
      </w:r>
      <w:r>
        <w:rPr>
          <w:rFonts w:hint="eastAsia" w:cs="宋体"/>
          <w:color w:val="auto"/>
        </w:rPr>
        <w:t>行“其中：非货币性资产交换收入”：填报纳税人发生的非货币性资产交换按照国家统一会计制度应确认的销售商品收入。</w:t>
      </w:r>
    </w:p>
    <w:p w14:paraId="7D3B3F38">
      <w:pPr>
        <w:pStyle w:val="56"/>
        <w:ind w:firstLine="480"/>
        <w:rPr>
          <w:rFonts w:hint="eastAsia"/>
          <w:color w:val="auto"/>
        </w:rPr>
      </w:pPr>
      <w:r>
        <w:rPr>
          <w:rFonts w:cs="宋体"/>
          <w:color w:val="auto"/>
        </w:rPr>
        <w:t>5.</w:t>
      </w:r>
      <w:r>
        <w:rPr>
          <w:rFonts w:hint="eastAsia" w:cs="宋体"/>
          <w:color w:val="auto"/>
        </w:rPr>
        <w:t>第</w:t>
      </w:r>
      <w:r>
        <w:rPr>
          <w:rFonts w:cs="宋体"/>
          <w:color w:val="auto"/>
        </w:rPr>
        <w:t>5</w:t>
      </w:r>
      <w:r>
        <w:rPr>
          <w:rFonts w:hint="eastAsia" w:cs="宋体"/>
          <w:color w:val="auto"/>
        </w:rPr>
        <w:t>行“提供劳务收入”：</w:t>
      </w:r>
      <w:r>
        <w:rPr>
          <w:rFonts w:hint="eastAsia"/>
          <w:color w:val="auto"/>
        </w:rPr>
        <w:t>填报纳税人从事建筑安装、修理修配、交通运输、仓储租赁、邮电通信、咨询经纪、文化体育、科学研究、技术服务、教育培训、餐饮住宿、中介代理、卫生保健、社区服务、旅游、娱乐、加工以及其他劳务活动取得的主营业务收入。</w:t>
      </w:r>
    </w:p>
    <w:p w14:paraId="2E026B58">
      <w:pPr>
        <w:pStyle w:val="56"/>
        <w:ind w:firstLine="480"/>
        <w:rPr>
          <w:rFonts w:hint="eastAsia"/>
          <w:color w:val="auto"/>
        </w:rPr>
      </w:pPr>
      <w:r>
        <w:rPr>
          <w:rFonts w:cs="宋体"/>
          <w:color w:val="auto"/>
        </w:rPr>
        <w:t>6.</w:t>
      </w:r>
      <w:r>
        <w:rPr>
          <w:rFonts w:hint="eastAsia" w:cs="宋体"/>
          <w:color w:val="auto"/>
        </w:rPr>
        <w:t>第</w:t>
      </w:r>
      <w:r>
        <w:rPr>
          <w:rFonts w:cs="宋体"/>
          <w:color w:val="auto"/>
        </w:rPr>
        <w:t>6</w:t>
      </w:r>
      <w:r>
        <w:rPr>
          <w:rFonts w:hint="eastAsia" w:cs="宋体"/>
          <w:color w:val="auto"/>
        </w:rPr>
        <w:t>行“建造合同收入”：填报纳税人建造房屋、道路、桥梁、水坝等建筑物，以及生产船舶、飞机、大型机械设备等取得的主营业务收入。</w:t>
      </w:r>
    </w:p>
    <w:p w14:paraId="669F51DC">
      <w:pPr>
        <w:pStyle w:val="56"/>
        <w:ind w:firstLine="480"/>
        <w:rPr>
          <w:rFonts w:hint="eastAsia"/>
          <w:color w:val="auto"/>
        </w:rPr>
      </w:pPr>
      <w:r>
        <w:rPr>
          <w:color w:val="auto"/>
        </w:rPr>
        <w:t>7.</w:t>
      </w:r>
      <w:r>
        <w:rPr>
          <w:rFonts w:hint="eastAsia"/>
          <w:color w:val="auto"/>
        </w:rPr>
        <w:t>第</w:t>
      </w:r>
      <w:r>
        <w:rPr>
          <w:color w:val="auto"/>
        </w:rPr>
        <w:t>7</w:t>
      </w:r>
      <w:r>
        <w:rPr>
          <w:rFonts w:hint="eastAsia"/>
          <w:color w:val="auto"/>
        </w:rPr>
        <w:t>行“让渡资产使用权收入”：填报纳税人在主营业务收入核算的，让渡无形资产使用权而取得的使用费收入以及出租固定资产、无形资产、投资性房地产取得的租金收入。</w:t>
      </w:r>
    </w:p>
    <w:p w14:paraId="3FD69314">
      <w:pPr>
        <w:pStyle w:val="56"/>
        <w:ind w:firstLine="480"/>
        <w:rPr>
          <w:rFonts w:hint="eastAsia"/>
          <w:color w:val="auto"/>
        </w:rPr>
      </w:pPr>
      <w:r>
        <w:rPr>
          <w:rFonts w:cs="宋体"/>
          <w:color w:val="auto"/>
        </w:rPr>
        <w:t>8.</w:t>
      </w:r>
      <w:r>
        <w:rPr>
          <w:rFonts w:hint="eastAsia" w:cs="宋体"/>
          <w:color w:val="auto"/>
        </w:rPr>
        <w:t>第</w:t>
      </w:r>
      <w:r>
        <w:rPr>
          <w:rFonts w:cs="宋体"/>
          <w:color w:val="auto"/>
        </w:rPr>
        <w:t>8</w:t>
      </w:r>
      <w:r>
        <w:rPr>
          <w:rFonts w:hint="eastAsia" w:cs="宋体"/>
          <w:color w:val="auto"/>
        </w:rPr>
        <w:t>行“其他”：填报纳税人按照国家统一会计制度核算</w:t>
      </w:r>
      <w:r>
        <w:rPr>
          <w:rFonts w:hint="eastAsia" w:cs="宋体"/>
          <w:color w:val="auto"/>
          <w:lang w:eastAsia="zh-CN"/>
        </w:rPr>
        <w:t>，</w:t>
      </w:r>
      <w:r>
        <w:rPr>
          <w:rFonts w:hint="eastAsia" w:cs="宋体"/>
          <w:color w:val="auto"/>
        </w:rPr>
        <w:t>上述未列举的其他主营业务收入。</w:t>
      </w:r>
    </w:p>
    <w:p w14:paraId="1FC66CEE">
      <w:pPr>
        <w:pStyle w:val="56"/>
        <w:ind w:firstLine="480"/>
        <w:rPr>
          <w:rFonts w:hint="eastAsia"/>
          <w:color w:val="auto"/>
        </w:rPr>
      </w:pPr>
      <w:r>
        <w:rPr>
          <w:rFonts w:cs="宋体"/>
          <w:color w:val="auto"/>
        </w:rPr>
        <w:t>9.</w:t>
      </w:r>
      <w:r>
        <w:rPr>
          <w:rFonts w:hint="eastAsia" w:cs="宋体"/>
          <w:color w:val="auto"/>
        </w:rPr>
        <w:t>第</w:t>
      </w:r>
      <w:r>
        <w:rPr>
          <w:rFonts w:cs="宋体"/>
          <w:color w:val="auto"/>
        </w:rPr>
        <w:t>9</w:t>
      </w:r>
      <w:r>
        <w:rPr>
          <w:rFonts w:hint="eastAsia" w:cs="宋体"/>
          <w:color w:val="auto"/>
        </w:rPr>
        <w:t>行“其他业务收入”：填报根据不同行业的业务性质分别填报纳税人核算的其他业务收入。</w:t>
      </w:r>
    </w:p>
    <w:p w14:paraId="6224A203">
      <w:pPr>
        <w:pStyle w:val="56"/>
        <w:ind w:firstLine="480"/>
        <w:rPr>
          <w:rFonts w:hint="eastAsia" w:cs="宋体"/>
          <w:color w:val="auto"/>
        </w:rPr>
      </w:pPr>
      <w:r>
        <w:rPr>
          <w:rFonts w:cs="宋体"/>
          <w:color w:val="auto"/>
        </w:rPr>
        <w:t>10.</w:t>
      </w:r>
      <w:r>
        <w:rPr>
          <w:rFonts w:hint="eastAsia" w:cs="宋体"/>
          <w:color w:val="auto"/>
        </w:rPr>
        <w:t>第</w:t>
      </w:r>
      <w:r>
        <w:rPr>
          <w:rFonts w:cs="宋体"/>
          <w:color w:val="auto"/>
        </w:rPr>
        <w:t>10</w:t>
      </w:r>
      <w:r>
        <w:rPr>
          <w:rFonts w:hint="eastAsia" w:cs="宋体"/>
          <w:color w:val="auto"/>
        </w:rPr>
        <w:t>行“销售材料收入”：填报纳税人销售材料、下脚料、废料、废旧物资等取得的收入。</w:t>
      </w:r>
    </w:p>
    <w:p w14:paraId="6EA617A7">
      <w:pPr>
        <w:pStyle w:val="56"/>
        <w:ind w:firstLine="480"/>
        <w:rPr>
          <w:rFonts w:hint="eastAsia"/>
          <w:color w:val="auto"/>
        </w:rPr>
      </w:pPr>
      <w:r>
        <w:rPr>
          <w:color w:val="auto"/>
        </w:rPr>
        <w:t>11</w:t>
      </w:r>
      <w:r>
        <w:rPr>
          <w:rFonts w:hint="eastAsia"/>
          <w:color w:val="auto"/>
        </w:rPr>
        <w:t>.第</w:t>
      </w:r>
      <w:r>
        <w:rPr>
          <w:color w:val="auto"/>
        </w:rPr>
        <w:t>11</w:t>
      </w:r>
      <w:r>
        <w:rPr>
          <w:rFonts w:hint="eastAsia"/>
          <w:color w:val="auto"/>
        </w:rPr>
        <w:t>行“其中：非货币性资产交换收入”：</w:t>
      </w:r>
      <w:r>
        <w:rPr>
          <w:rFonts w:hint="eastAsia" w:cs="宋体"/>
          <w:color w:val="auto"/>
        </w:rPr>
        <w:t>填报纳税人发生的非货币性资产交换按照国家统一会计制度应确认的材料销售收入。</w:t>
      </w:r>
    </w:p>
    <w:p w14:paraId="1FC18F84">
      <w:pPr>
        <w:pStyle w:val="56"/>
        <w:ind w:firstLine="480"/>
        <w:rPr>
          <w:rFonts w:hint="eastAsia"/>
          <w:color w:val="auto"/>
        </w:rPr>
      </w:pPr>
      <w:r>
        <w:rPr>
          <w:rFonts w:cs="宋体"/>
          <w:color w:val="auto"/>
        </w:rPr>
        <w:t>12.</w:t>
      </w:r>
      <w:r>
        <w:rPr>
          <w:rFonts w:hint="eastAsia" w:cs="宋体"/>
          <w:color w:val="auto"/>
        </w:rPr>
        <w:t>第</w:t>
      </w:r>
      <w:r>
        <w:rPr>
          <w:rFonts w:cs="宋体"/>
          <w:color w:val="auto"/>
        </w:rPr>
        <w:t>12</w:t>
      </w:r>
      <w:r>
        <w:rPr>
          <w:rFonts w:hint="eastAsia" w:cs="宋体"/>
          <w:color w:val="auto"/>
        </w:rPr>
        <w:t>行“出租固定资产收入”：填报纳税人将固定资产使用权让与承租人获取的其他业务收入。</w:t>
      </w:r>
    </w:p>
    <w:p w14:paraId="2F9C1D68">
      <w:pPr>
        <w:pStyle w:val="56"/>
        <w:ind w:firstLine="480"/>
        <w:rPr>
          <w:rFonts w:hint="eastAsia"/>
          <w:color w:val="auto"/>
        </w:rPr>
      </w:pPr>
      <w:r>
        <w:rPr>
          <w:rFonts w:cs="宋体"/>
          <w:color w:val="auto"/>
        </w:rPr>
        <w:t>13.</w:t>
      </w:r>
      <w:r>
        <w:rPr>
          <w:rFonts w:hint="eastAsia" w:cs="宋体"/>
          <w:color w:val="auto"/>
        </w:rPr>
        <w:t>第</w:t>
      </w:r>
      <w:r>
        <w:rPr>
          <w:rFonts w:cs="宋体"/>
          <w:color w:val="auto"/>
        </w:rPr>
        <w:t>13</w:t>
      </w:r>
      <w:r>
        <w:rPr>
          <w:rFonts w:hint="eastAsia" w:cs="宋体"/>
          <w:color w:val="auto"/>
        </w:rPr>
        <w:t>行“出租无形资产收入”：填报纳税人让渡无形资产使用权取得的其他业务收入。</w:t>
      </w:r>
    </w:p>
    <w:p w14:paraId="46AC041D">
      <w:pPr>
        <w:pStyle w:val="56"/>
        <w:ind w:firstLine="480"/>
        <w:rPr>
          <w:rFonts w:hint="eastAsia" w:cs="宋体"/>
          <w:color w:val="auto"/>
        </w:rPr>
      </w:pPr>
      <w:r>
        <w:rPr>
          <w:rFonts w:cs="宋体"/>
          <w:color w:val="auto"/>
        </w:rPr>
        <w:t>14.</w:t>
      </w:r>
      <w:r>
        <w:rPr>
          <w:rFonts w:hint="eastAsia" w:cs="宋体"/>
          <w:color w:val="auto"/>
        </w:rPr>
        <w:t>第</w:t>
      </w:r>
      <w:r>
        <w:rPr>
          <w:rFonts w:cs="宋体"/>
          <w:color w:val="auto"/>
        </w:rPr>
        <w:t>14</w:t>
      </w:r>
      <w:r>
        <w:rPr>
          <w:rFonts w:hint="eastAsia" w:cs="宋体"/>
          <w:color w:val="auto"/>
        </w:rPr>
        <w:t>行“出租包装物和商品收入”：填报纳税人出租、出借包装物和商品取得的其他业务收入。</w:t>
      </w:r>
    </w:p>
    <w:p w14:paraId="0F523FFB">
      <w:pPr>
        <w:pStyle w:val="56"/>
        <w:ind w:firstLine="480"/>
        <w:rPr>
          <w:rFonts w:hint="eastAsia" w:cs="宋体"/>
          <w:color w:val="auto"/>
        </w:rPr>
      </w:pPr>
      <w:r>
        <w:rPr>
          <w:rFonts w:cs="宋体"/>
          <w:color w:val="auto"/>
        </w:rPr>
        <w:t>15.</w:t>
      </w:r>
      <w:r>
        <w:rPr>
          <w:rFonts w:hint="eastAsia" w:cs="宋体"/>
          <w:color w:val="auto"/>
        </w:rPr>
        <w:t>第</w:t>
      </w:r>
      <w:r>
        <w:rPr>
          <w:rFonts w:cs="宋体"/>
          <w:color w:val="auto"/>
        </w:rPr>
        <w:t>15</w:t>
      </w:r>
      <w:r>
        <w:rPr>
          <w:rFonts w:hint="eastAsia" w:cs="宋体"/>
          <w:color w:val="auto"/>
        </w:rPr>
        <w:t>行“其他”：填报纳税人按照国家统一会计制度核算，上述未列举的其他业务收入。</w:t>
      </w:r>
    </w:p>
    <w:p w14:paraId="17E9BF42">
      <w:pPr>
        <w:pStyle w:val="56"/>
        <w:ind w:firstLine="480"/>
        <w:rPr>
          <w:rFonts w:hint="eastAsia" w:cs="宋体"/>
          <w:color w:val="auto"/>
        </w:rPr>
      </w:pPr>
      <w:r>
        <w:rPr>
          <w:rFonts w:cs="宋体"/>
          <w:color w:val="auto"/>
        </w:rPr>
        <w:t>16.</w:t>
      </w:r>
      <w:r>
        <w:rPr>
          <w:rFonts w:hint="eastAsia" w:cs="宋体"/>
          <w:color w:val="auto"/>
        </w:rPr>
        <w:t>第</w:t>
      </w:r>
      <w:r>
        <w:rPr>
          <w:rFonts w:cs="宋体"/>
          <w:color w:val="auto"/>
        </w:rPr>
        <w:t>16</w:t>
      </w:r>
      <w:r>
        <w:rPr>
          <w:rFonts w:hint="eastAsia" w:cs="宋体"/>
          <w:color w:val="auto"/>
        </w:rPr>
        <w:t>行“营业外收入”：</w:t>
      </w:r>
      <w:r>
        <w:rPr>
          <w:rFonts w:hint="eastAsia" w:ascii="宋体" w:hAnsi="宋体" w:eastAsia="宋体" w:cs="宋体"/>
          <w:b/>
          <w:bCs/>
          <w:color w:val="FF0000"/>
          <w:highlight w:val="cyan"/>
        </w:rPr>
        <w:t>填报</w:t>
      </w:r>
      <w:r>
        <w:rPr>
          <w:rFonts w:hint="eastAsia" w:ascii="宋体" w:hAnsi="宋体" w:eastAsia="宋体" w:cs="宋体"/>
          <w:b/>
          <w:bCs/>
          <w:color w:val="FF0000"/>
          <w:highlight w:val="cyan"/>
          <w:lang w:eastAsia="zh-CN"/>
        </w:rPr>
        <w:t>纳税人</w:t>
      </w:r>
      <w:r>
        <w:rPr>
          <w:rFonts w:hint="eastAsia" w:ascii="宋体" w:hAnsi="宋体" w:eastAsia="宋体" w:cs="宋体"/>
          <w:b/>
          <w:bCs/>
          <w:color w:val="FF0000"/>
          <w:highlight w:val="cyan"/>
        </w:rPr>
        <w:t>发生的除营业利润以外的收益</w:t>
      </w:r>
      <w:r>
        <w:rPr>
          <w:rFonts w:hint="eastAsia" w:cs="宋体"/>
          <w:color w:val="auto"/>
        </w:rPr>
        <w:t>。</w:t>
      </w:r>
    </w:p>
    <w:p w14:paraId="65B5627D">
      <w:pPr>
        <w:pStyle w:val="56"/>
        <w:ind w:firstLine="480"/>
        <w:rPr>
          <w:rFonts w:hint="eastAsia" w:cs="宋体"/>
          <w:color w:val="auto"/>
        </w:rPr>
      </w:pPr>
      <w:r>
        <w:rPr>
          <w:rFonts w:cs="宋体"/>
          <w:color w:val="auto"/>
        </w:rPr>
        <w:t>17.</w:t>
      </w:r>
      <w:r>
        <w:rPr>
          <w:rFonts w:hint="eastAsia" w:cs="宋体"/>
          <w:color w:val="auto"/>
        </w:rPr>
        <w:t>第</w:t>
      </w:r>
      <w:r>
        <w:rPr>
          <w:rFonts w:cs="宋体"/>
          <w:color w:val="auto"/>
        </w:rPr>
        <w:t>17</w:t>
      </w:r>
      <w:r>
        <w:rPr>
          <w:rFonts w:hint="eastAsia" w:cs="宋体"/>
          <w:color w:val="auto"/>
        </w:rPr>
        <w:t>行“非流动资产处置利得”：填报纳税人处置固定资产、无形资产等取得的净收益。</w:t>
      </w:r>
    </w:p>
    <w:p w14:paraId="4C1F709D">
      <w:pPr>
        <w:pStyle w:val="56"/>
        <w:ind w:firstLine="480"/>
        <w:rPr>
          <w:rFonts w:hint="eastAsia" w:cs="宋体"/>
          <w:color w:val="auto"/>
        </w:rPr>
      </w:pPr>
      <w:r>
        <w:rPr>
          <w:rFonts w:cs="宋体"/>
          <w:color w:val="auto"/>
        </w:rPr>
        <w:t>18.</w:t>
      </w:r>
      <w:r>
        <w:rPr>
          <w:rFonts w:hint="eastAsia" w:cs="宋体"/>
          <w:color w:val="auto"/>
        </w:rPr>
        <w:t>第</w:t>
      </w:r>
      <w:r>
        <w:rPr>
          <w:rFonts w:cs="宋体"/>
          <w:color w:val="auto"/>
        </w:rPr>
        <w:t>18</w:t>
      </w:r>
      <w:r>
        <w:rPr>
          <w:rFonts w:hint="eastAsia" w:cs="宋体"/>
          <w:color w:val="auto"/>
        </w:rPr>
        <w:t>行“非货币性资产交换利得”：填报纳税人发生非货币性资产交换应确认的净收益。</w:t>
      </w:r>
    </w:p>
    <w:p w14:paraId="0AD54602">
      <w:pPr>
        <w:pStyle w:val="56"/>
        <w:ind w:firstLine="480"/>
        <w:rPr>
          <w:rFonts w:hint="eastAsia" w:cs="宋体"/>
          <w:color w:val="auto"/>
        </w:rPr>
      </w:pPr>
      <w:r>
        <w:rPr>
          <w:rFonts w:cs="宋体"/>
          <w:color w:val="auto"/>
        </w:rPr>
        <w:t>19.</w:t>
      </w:r>
      <w:r>
        <w:rPr>
          <w:rFonts w:hint="eastAsia" w:cs="宋体"/>
          <w:color w:val="auto"/>
        </w:rPr>
        <w:t>第</w:t>
      </w:r>
      <w:r>
        <w:rPr>
          <w:rFonts w:cs="宋体"/>
          <w:color w:val="auto"/>
        </w:rPr>
        <w:t>19</w:t>
      </w:r>
      <w:r>
        <w:rPr>
          <w:rFonts w:hint="eastAsia" w:cs="宋体"/>
          <w:color w:val="auto"/>
        </w:rPr>
        <w:t>行“债务重组利得”：填报纳税人发生的债务重组业务确认的净收益。</w:t>
      </w:r>
    </w:p>
    <w:p w14:paraId="720B3FDD">
      <w:pPr>
        <w:pStyle w:val="56"/>
        <w:ind w:firstLine="480"/>
        <w:rPr>
          <w:rFonts w:hint="eastAsia" w:cs="宋体"/>
          <w:color w:val="auto"/>
        </w:rPr>
      </w:pPr>
      <w:r>
        <w:rPr>
          <w:rFonts w:cs="宋体"/>
          <w:color w:val="auto"/>
        </w:rPr>
        <w:t>20.</w:t>
      </w:r>
      <w:r>
        <w:rPr>
          <w:rFonts w:hint="eastAsia" w:cs="宋体"/>
          <w:color w:val="auto"/>
        </w:rPr>
        <w:t>第</w:t>
      </w:r>
      <w:r>
        <w:rPr>
          <w:rFonts w:cs="宋体"/>
          <w:color w:val="auto"/>
        </w:rPr>
        <w:t>20</w:t>
      </w:r>
      <w:r>
        <w:rPr>
          <w:rFonts w:hint="eastAsia" w:cs="宋体"/>
          <w:color w:val="auto"/>
        </w:rPr>
        <w:t>行“政府补助利得”：填报纳税人从政府无偿取得货币性资产或非货币性资产应确认的净收益。</w:t>
      </w:r>
    </w:p>
    <w:p w14:paraId="46B0F6EF">
      <w:pPr>
        <w:pStyle w:val="56"/>
        <w:ind w:firstLine="480"/>
        <w:rPr>
          <w:rFonts w:hint="eastAsia" w:cs="宋体"/>
          <w:color w:val="auto"/>
        </w:rPr>
      </w:pPr>
      <w:r>
        <w:rPr>
          <w:rFonts w:cs="宋体"/>
          <w:color w:val="auto"/>
        </w:rPr>
        <w:t>21.</w:t>
      </w:r>
      <w:r>
        <w:rPr>
          <w:rFonts w:hint="eastAsia" w:cs="宋体"/>
          <w:color w:val="auto"/>
        </w:rPr>
        <w:t>第</w:t>
      </w:r>
      <w:r>
        <w:rPr>
          <w:rFonts w:cs="宋体"/>
          <w:color w:val="auto"/>
        </w:rPr>
        <w:t>21</w:t>
      </w:r>
      <w:r>
        <w:rPr>
          <w:rFonts w:hint="eastAsia" w:cs="宋体"/>
          <w:color w:val="auto"/>
        </w:rPr>
        <w:t>行“盘盈利得”：填报纳税人在清查财产过程中查明的各种财产盘盈应确认的净收益。</w:t>
      </w:r>
    </w:p>
    <w:p w14:paraId="61A21F18">
      <w:pPr>
        <w:pStyle w:val="56"/>
        <w:ind w:firstLine="480"/>
        <w:rPr>
          <w:rFonts w:hint="eastAsia" w:cs="宋体"/>
          <w:color w:val="auto"/>
        </w:rPr>
      </w:pPr>
      <w:r>
        <w:rPr>
          <w:rFonts w:cs="宋体"/>
          <w:color w:val="auto"/>
        </w:rPr>
        <w:t>22.</w:t>
      </w:r>
      <w:r>
        <w:rPr>
          <w:rFonts w:hint="eastAsia" w:cs="宋体"/>
          <w:color w:val="auto"/>
        </w:rPr>
        <w:t>第</w:t>
      </w:r>
      <w:r>
        <w:rPr>
          <w:rFonts w:cs="宋体"/>
          <w:color w:val="auto"/>
        </w:rPr>
        <w:t>22</w:t>
      </w:r>
      <w:r>
        <w:rPr>
          <w:rFonts w:hint="eastAsia" w:cs="宋体"/>
          <w:color w:val="auto"/>
        </w:rPr>
        <w:t>行“捐赠利得”：填报纳税人接受的来自企业、组织或个人无偿给予的货币性资产、非货币性资产捐赠应确认的净收益。</w:t>
      </w:r>
    </w:p>
    <w:p w14:paraId="042547B8">
      <w:pPr>
        <w:pStyle w:val="56"/>
        <w:ind w:firstLine="480"/>
        <w:rPr>
          <w:rFonts w:hint="eastAsia" w:cs="宋体"/>
          <w:color w:val="auto"/>
        </w:rPr>
      </w:pPr>
      <w:r>
        <w:rPr>
          <w:rFonts w:cs="宋体"/>
          <w:color w:val="auto"/>
        </w:rPr>
        <w:t>23.</w:t>
      </w:r>
      <w:r>
        <w:rPr>
          <w:rFonts w:hint="eastAsia" w:cs="宋体"/>
          <w:color w:val="auto"/>
        </w:rPr>
        <w:t>第</w:t>
      </w:r>
      <w:r>
        <w:rPr>
          <w:rFonts w:cs="宋体"/>
          <w:color w:val="auto"/>
        </w:rPr>
        <w:t>23</w:t>
      </w:r>
      <w:r>
        <w:rPr>
          <w:rFonts w:hint="eastAsia" w:cs="宋体"/>
          <w:color w:val="auto"/>
        </w:rPr>
        <w:t>行“罚没利得”：填报纳税人在日常经营管理活动中取得的罚款、没收收入应确认的净收益。</w:t>
      </w:r>
    </w:p>
    <w:p w14:paraId="182E09E5">
      <w:pPr>
        <w:pStyle w:val="56"/>
        <w:ind w:firstLine="480"/>
        <w:rPr>
          <w:rFonts w:hint="eastAsia" w:cs="宋体"/>
          <w:color w:val="auto"/>
        </w:rPr>
      </w:pPr>
      <w:r>
        <w:rPr>
          <w:rFonts w:cs="宋体"/>
          <w:color w:val="auto"/>
        </w:rPr>
        <w:t>24.</w:t>
      </w:r>
      <w:r>
        <w:rPr>
          <w:rFonts w:hint="eastAsia" w:cs="宋体"/>
          <w:color w:val="auto"/>
        </w:rPr>
        <w:t>第</w:t>
      </w:r>
      <w:r>
        <w:rPr>
          <w:rFonts w:cs="宋体"/>
          <w:color w:val="auto"/>
        </w:rPr>
        <w:t>24</w:t>
      </w:r>
      <w:r>
        <w:rPr>
          <w:rFonts w:hint="eastAsia" w:cs="宋体"/>
          <w:color w:val="auto"/>
        </w:rPr>
        <w:t>行“确实无法偿付的应付款项”：填报纳税人因确实无法偿付的应付款项而确认的收入。</w:t>
      </w:r>
    </w:p>
    <w:p w14:paraId="257CD091">
      <w:pPr>
        <w:pStyle w:val="56"/>
        <w:ind w:firstLine="480"/>
        <w:rPr>
          <w:rFonts w:hint="eastAsia" w:cs="宋体"/>
          <w:color w:val="auto"/>
        </w:rPr>
      </w:pPr>
      <w:r>
        <w:rPr>
          <w:rFonts w:cs="宋体"/>
          <w:color w:val="auto"/>
        </w:rPr>
        <w:t>25</w:t>
      </w:r>
      <w:r>
        <w:rPr>
          <w:rFonts w:hint="eastAsia" w:cs="宋体"/>
          <w:color w:val="auto"/>
        </w:rPr>
        <w:t>.第</w:t>
      </w:r>
      <w:r>
        <w:rPr>
          <w:rFonts w:cs="宋体"/>
          <w:color w:val="auto"/>
        </w:rPr>
        <w:t>25</w:t>
      </w:r>
      <w:r>
        <w:rPr>
          <w:rFonts w:hint="eastAsia" w:cs="宋体"/>
          <w:color w:val="auto"/>
        </w:rPr>
        <w:t>行“汇兑收益”：填报纳税人取得企业外币货币性项目因汇率变动形成的收益应确认的收入。（该项目为执行小企业会计准则企业填报）</w:t>
      </w:r>
    </w:p>
    <w:p w14:paraId="59A52230">
      <w:pPr>
        <w:pStyle w:val="56"/>
        <w:ind w:firstLine="480"/>
        <w:rPr>
          <w:rFonts w:hint="eastAsia" w:cs="宋体"/>
          <w:color w:val="auto"/>
        </w:rPr>
      </w:pPr>
      <w:r>
        <w:rPr>
          <w:rFonts w:cs="宋体"/>
          <w:color w:val="auto"/>
        </w:rPr>
        <w:t>26.</w:t>
      </w:r>
      <w:r>
        <w:rPr>
          <w:rFonts w:hint="eastAsia" w:cs="宋体"/>
          <w:color w:val="auto"/>
        </w:rPr>
        <w:t>第</w:t>
      </w:r>
      <w:r>
        <w:rPr>
          <w:rFonts w:cs="宋体"/>
          <w:color w:val="auto"/>
        </w:rPr>
        <w:t>26</w:t>
      </w:r>
      <w:r>
        <w:rPr>
          <w:rFonts w:hint="eastAsia" w:cs="宋体"/>
          <w:color w:val="auto"/>
        </w:rPr>
        <w:t>行“其他”：</w:t>
      </w:r>
      <w:r>
        <w:rPr>
          <w:rFonts w:hint="eastAsia"/>
          <w:color w:val="auto"/>
        </w:rPr>
        <w:t>填报纳税人取得的上述项目未列举的其他营业外收入，</w:t>
      </w:r>
      <w:r>
        <w:rPr>
          <w:rFonts w:hint="eastAsia" w:cs="宋体"/>
          <w:color w:val="auto"/>
        </w:rPr>
        <w:t>包括执行企业会计准则纳税人按权益法核算长期股权投资对初始投资成本调整确认的收益，执行小企业会计准则纳税人取得的出租包装物和商品的租金收入、逾期未退包装物押金收益等。</w:t>
      </w:r>
    </w:p>
    <w:p w14:paraId="00873345">
      <w:pPr>
        <w:pStyle w:val="59"/>
        <w:ind w:firstLine="482"/>
        <w:rPr>
          <w:rFonts w:hint="eastAsia"/>
          <w:color w:val="auto"/>
        </w:rPr>
      </w:pPr>
      <w:bookmarkStart w:id="4" w:name="_Toc393480187"/>
      <w:r>
        <w:rPr>
          <w:rFonts w:hint="eastAsia"/>
          <w:color w:val="auto"/>
        </w:rPr>
        <w:t>二、表内、表间关系</w:t>
      </w:r>
      <w:bookmarkEnd w:id="4"/>
    </w:p>
    <w:p w14:paraId="01480131">
      <w:pPr>
        <w:pStyle w:val="60"/>
        <w:rPr>
          <w:rFonts w:hint="eastAsia"/>
          <w:color w:val="auto"/>
        </w:rPr>
      </w:pPr>
      <w:r>
        <w:rPr>
          <w:rFonts w:hint="eastAsia"/>
          <w:color w:val="auto"/>
        </w:rPr>
        <w:t>（一）表内关系</w:t>
      </w:r>
    </w:p>
    <w:p w14:paraId="7062A395">
      <w:pPr>
        <w:pStyle w:val="56"/>
        <w:ind w:firstLine="480"/>
        <w:rPr>
          <w:rFonts w:hint="eastAsia"/>
          <w:color w:val="auto"/>
        </w:rPr>
      </w:pPr>
      <w:r>
        <w:rPr>
          <w:color w:val="auto"/>
        </w:rPr>
        <w:t>1.</w:t>
      </w:r>
      <w:r>
        <w:rPr>
          <w:rFonts w:hint="eastAsia"/>
          <w:color w:val="auto"/>
        </w:rPr>
        <w:t>第</w:t>
      </w:r>
      <w:r>
        <w:rPr>
          <w:color w:val="auto"/>
        </w:rPr>
        <w:t>1</w:t>
      </w:r>
      <w:r>
        <w:rPr>
          <w:rFonts w:hint="eastAsia"/>
          <w:color w:val="auto"/>
        </w:rPr>
        <w:t>行</w:t>
      </w:r>
      <w:r>
        <w:rPr>
          <w:color w:val="auto"/>
        </w:rPr>
        <w:t>＝</w:t>
      </w:r>
      <w:r>
        <w:rPr>
          <w:rFonts w:hint="eastAsia"/>
          <w:color w:val="auto"/>
        </w:rPr>
        <w:t>第</w:t>
      </w:r>
      <w:r>
        <w:rPr>
          <w:color w:val="auto"/>
        </w:rPr>
        <w:t>2＋9</w:t>
      </w:r>
      <w:r>
        <w:rPr>
          <w:rFonts w:hint="eastAsia"/>
          <w:color w:val="auto"/>
        </w:rPr>
        <w:t>行。</w:t>
      </w:r>
    </w:p>
    <w:p w14:paraId="67512254">
      <w:pPr>
        <w:pStyle w:val="56"/>
        <w:ind w:firstLine="480"/>
        <w:rPr>
          <w:rFonts w:hint="eastAsia"/>
          <w:color w:val="auto"/>
        </w:rPr>
      </w:pPr>
      <w:r>
        <w:rPr>
          <w:color w:val="auto"/>
        </w:rPr>
        <w:t>2.</w:t>
      </w:r>
      <w:r>
        <w:rPr>
          <w:rFonts w:hint="eastAsia"/>
          <w:color w:val="auto"/>
        </w:rPr>
        <w:t>第</w:t>
      </w:r>
      <w:r>
        <w:rPr>
          <w:color w:val="auto"/>
        </w:rPr>
        <w:t>2</w:t>
      </w:r>
      <w:r>
        <w:rPr>
          <w:rFonts w:hint="eastAsia"/>
          <w:color w:val="auto"/>
        </w:rPr>
        <w:t>行</w:t>
      </w:r>
      <w:r>
        <w:rPr>
          <w:color w:val="auto"/>
        </w:rPr>
        <w:t>＝</w:t>
      </w:r>
      <w:r>
        <w:rPr>
          <w:rFonts w:hint="eastAsia"/>
          <w:color w:val="auto"/>
        </w:rPr>
        <w:t>第</w:t>
      </w:r>
      <w:r>
        <w:rPr>
          <w:color w:val="auto"/>
        </w:rPr>
        <w:t>3＋5＋6＋7</w:t>
      </w:r>
      <w:r>
        <w:rPr>
          <w:rFonts w:hint="eastAsia"/>
          <w:color w:val="auto"/>
        </w:rPr>
        <w:t>＋8行。</w:t>
      </w:r>
    </w:p>
    <w:p w14:paraId="441DB134">
      <w:pPr>
        <w:pStyle w:val="56"/>
        <w:ind w:firstLine="480"/>
        <w:rPr>
          <w:rFonts w:hint="eastAsia"/>
          <w:color w:val="auto"/>
        </w:rPr>
      </w:pPr>
      <w:r>
        <w:rPr>
          <w:color w:val="auto"/>
        </w:rPr>
        <w:t>3.</w:t>
      </w:r>
      <w:r>
        <w:rPr>
          <w:rFonts w:hint="eastAsia"/>
          <w:color w:val="auto"/>
        </w:rPr>
        <w:t>第</w:t>
      </w:r>
      <w:r>
        <w:rPr>
          <w:color w:val="auto"/>
        </w:rPr>
        <w:t>9</w:t>
      </w:r>
      <w:r>
        <w:rPr>
          <w:rFonts w:hint="eastAsia"/>
          <w:color w:val="auto"/>
        </w:rPr>
        <w:t>行</w:t>
      </w:r>
      <w:r>
        <w:rPr>
          <w:color w:val="auto"/>
        </w:rPr>
        <w:t>＝</w:t>
      </w:r>
      <w:r>
        <w:rPr>
          <w:rFonts w:hint="eastAsia"/>
          <w:color w:val="auto"/>
        </w:rPr>
        <w:t>第</w:t>
      </w:r>
      <w:r>
        <w:rPr>
          <w:color w:val="auto"/>
        </w:rPr>
        <w:t>10＋12＋13＋14＋15</w:t>
      </w:r>
      <w:r>
        <w:rPr>
          <w:rFonts w:hint="eastAsia"/>
          <w:color w:val="auto"/>
        </w:rPr>
        <w:t>行。</w:t>
      </w:r>
    </w:p>
    <w:p w14:paraId="6B38266B">
      <w:pPr>
        <w:pStyle w:val="56"/>
        <w:ind w:firstLine="480"/>
        <w:rPr>
          <w:rFonts w:hint="eastAsia"/>
          <w:color w:val="auto"/>
        </w:rPr>
      </w:pPr>
      <w:r>
        <w:rPr>
          <w:color w:val="auto"/>
        </w:rPr>
        <w:t>4.</w:t>
      </w:r>
      <w:r>
        <w:rPr>
          <w:rFonts w:hint="eastAsia"/>
          <w:color w:val="auto"/>
        </w:rPr>
        <w:t>第</w:t>
      </w:r>
      <w:r>
        <w:rPr>
          <w:color w:val="auto"/>
        </w:rPr>
        <w:t>16</w:t>
      </w:r>
      <w:r>
        <w:rPr>
          <w:rFonts w:hint="eastAsia"/>
          <w:color w:val="auto"/>
        </w:rPr>
        <w:t>行</w:t>
      </w:r>
      <w:r>
        <w:rPr>
          <w:color w:val="auto"/>
        </w:rPr>
        <w:t>＝</w:t>
      </w:r>
      <w:r>
        <w:rPr>
          <w:rFonts w:hint="eastAsia"/>
          <w:color w:val="auto"/>
        </w:rPr>
        <w:t>第</w:t>
      </w:r>
      <w:r>
        <w:rPr>
          <w:color w:val="auto"/>
        </w:rPr>
        <w:t>17＋18＋</w:t>
      </w:r>
      <w:r>
        <w:rPr>
          <w:rFonts w:hint="eastAsia"/>
          <w:color w:val="auto"/>
        </w:rPr>
        <w:t>19＋20＋21＋22＋23＋24＋25</w:t>
      </w:r>
      <w:r>
        <w:rPr>
          <w:color w:val="auto"/>
        </w:rPr>
        <w:t>＋26</w:t>
      </w:r>
      <w:r>
        <w:rPr>
          <w:rFonts w:hint="eastAsia"/>
          <w:color w:val="auto"/>
        </w:rPr>
        <w:t>行。</w:t>
      </w:r>
    </w:p>
    <w:p w14:paraId="15D2F09C">
      <w:pPr>
        <w:pStyle w:val="60"/>
        <w:rPr>
          <w:rFonts w:hint="eastAsia"/>
          <w:color w:val="auto"/>
        </w:rPr>
      </w:pPr>
      <w:r>
        <w:rPr>
          <w:rFonts w:hint="eastAsia"/>
          <w:color w:val="auto"/>
        </w:rPr>
        <w:t>（二）表间关系</w:t>
      </w:r>
    </w:p>
    <w:p w14:paraId="1E0CEC36">
      <w:pPr>
        <w:pStyle w:val="56"/>
        <w:ind w:firstLine="480"/>
        <w:rPr>
          <w:rFonts w:hint="eastAsia"/>
          <w:color w:val="auto"/>
        </w:rPr>
      </w:pPr>
      <w:r>
        <w:rPr>
          <w:rFonts w:hint="eastAsia"/>
          <w:color w:val="auto"/>
        </w:rPr>
        <w:t>1.第</w:t>
      </w:r>
      <w:r>
        <w:rPr>
          <w:color w:val="auto"/>
        </w:rPr>
        <w:t>1</w:t>
      </w:r>
      <w:r>
        <w:rPr>
          <w:rFonts w:hint="eastAsia"/>
          <w:color w:val="auto"/>
        </w:rPr>
        <w:t>行</w:t>
      </w:r>
      <w:r>
        <w:rPr>
          <w:color w:val="auto"/>
        </w:rPr>
        <w:t>＝</w:t>
      </w:r>
      <w:r>
        <w:rPr>
          <w:rFonts w:hint="eastAsia"/>
          <w:color w:val="auto"/>
        </w:rPr>
        <w:t>表</w:t>
      </w:r>
      <w:r>
        <w:rPr>
          <w:color w:val="auto"/>
        </w:rPr>
        <w:t>A10000</w:t>
      </w:r>
      <w:r>
        <w:rPr>
          <w:rFonts w:hint="eastAsia"/>
          <w:color w:val="auto"/>
        </w:rPr>
        <w:t>0第</w:t>
      </w:r>
      <w:r>
        <w:rPr>
          <w:color w:val="auto"/>
        </w:rPr>
        <w:t>1</w:t>
      </w:r>
      <w:r>
        <w:rPr>
          <w:rFonts w:hint="eastAsia"/>
          <w:color w:val="auto"/>
        </w:rPr>
        <w:t>行。</w:t>
      </w:r>
      <w:bookmarkStart w:id="5" w:name="_GoBack"/>
      <w:bookmarkEnd w:id="5"/>
    </w:p>
    <w:p w14:paraId="15A2D1C2">
      <w:pPr>
        <w:pStyle w:val="56"/>
      </w:pPr>
    </w:p>
    <w:sectPr>
      <w:headerReference r:id="rId4" w:type="even"/>
      <w:pgSz w:w="11906" w:h="16838"/>
      <w:pgMar w:top="1985" w:right="1418" w:bottom="1928" w:left="1418" w:header="851" w:footer="992" w:gutter="113"/>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Heiti SC Light">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SI宋体-GB2312">
    <w:altName w:val="宋体"/>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A6E31">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2</w:t>
    </w:r>
    <w:r>
      <w:rPr>
        <w:rStyle w:val="29"/>
      </w:rPr>
      <w:fldChar w:fldCharType="end"/>
    </w:r>
  </w:p>
  <w:p w14:paraId="5E8994C1">
    <w:pPr>
      <w:pStyle w:val="15"/>
      <w:jc w:val="center"/>
      <w:rPr>
        <w:rFonts w:ascii="Arial" w:hAnsi="Arial" w:eastAsia="等线 Light" w:cs="Arial"/>
        <w:sz w:val="21"/>
        <w:szCs w:val="21"/>
        <w:lang w:val="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F19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60634"/>
    <w:multiLevelType w:val="multilevel"/>
    <w:tmpl w:val="0DD60634"/>
    <w:lvl w:ilvl="0" w:tentative="0">
      <w:start w:val="1"/>
      <w:numFmt w:val="decimal"/>
      <w:lvlText w:val="%1."/>
      <w:lvlJc w:val="left"/>
      <w:pPr>
        <w:ind w:left="900" w:hanging="420"/>
      </w:pPr>
      <w:rPr>
        <w:rFonts w:hint="default" w:ascii="Arial" w:hAnsi="Arial" w:eastAsia="宋体" w:cs="Times New Roman"/>
        <w:b w:val="0"/>
        <w:i w:val="0"/>
        <w:sz w:val="24"/>
      </w:rPr>
    </w:lvl>
    <w:lvl w:ilvl="1" w:tentative="0">
      <w:start w:val="1"/>
      <w:numFmt w:val="decimal"/>
      <w:pStyle w:val="58"/>
      <w:suff w:val="nothing"/>
      <w:lvlText w:val="%2."/>
      <w:lvlJc w:val="left"/>
      <w:pPr>
        <w:ind w:left="840" w:hanging="420"/>
      </w:pPr>
      <w:rPr>
        <w:rFonts w:hint="default" w:ascii="宋体" w:hAnsi="宋体" w:eastAsia="宋体" w:cs="Times New Roman"/>
        <w:b w:val="0"/>
        <w:i w:val="0"/>
        <w:caps w:val="0"/>
        <w:strike w:val="0"/>
        <w:dstrike w:val="0"/>
        <w:vanish w:val="0"/>
        <w:color w:val="000000"/>
        <w:sz w:val="24"/>
        <w:vertAlign w:val="baseline"/>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1D"/>
    <w:rsid w:val="000011F4"/>
    <w:rsid w:val="00031C2C"/>
    <w:rsid w:val="000507B3"/>
    <w:rsid w:val="000B738D"/>
    <w:rsid w:val="000C0B87"/>
    <w:rsid w:val="00130865"/>
    <w:rsid w:val="00146DB5"/>
    <w:rsid w:val="001532C8"/>
    <w:rsid w:val="00165D8A"/>
    <w:rsid w:val="00187CB5"/>
    <w:rsid w:val="00197DA0"/>
    <w:rsid w:val="001A2726"/>
    <w:rsid w:val="001C6FD6"/>
    <w:rsid w:val="00200682"/>
    <w:rsid w:val="00205D7D"/>
    <w:rsid w:val="00250DAC"/>
    <w:rsid w:val="0029637B"/>
    <w:rsid w:val="002A455B"/>
    <w:rsid w:val="002C1F0B"/>
    <w:rsid w:val="002E573A"/>
    <w:rsid w:val="002F0781"/>
    <w:rsid w:val="00300CAF"/>
    <w:rsid w:val="003043AA"/>
    <w:rsid w:val="00345E53"/>
    <w:rsid w:val="003C323C"/>
    <w:rsid w:val="003E5CB1"/>
    <w:rsid w:val="004209E3"/>
    <w:rsid w:val="00427860"/>
    <w:rsid w:val="00430AA1"/>
    <w:rsid w:val="00492A24"/>
    <w:rsid w:val="004A672A"/>
    <w:rsid w:val="004D00B7"/>
    <w:rsid w:val="004E7A2E"/>
    <w:rsid w:val="0051539B"/>
    <w:rsid w:val="00532883"/>
    <w:rsid w:val="00543C31"/>
    <w:rsid w:val="00596983"/>
    <w:rsid w:val="005A074B"/>
    <w:rsid w:val="005D4D88"/>
    <w:rsid w:val="005F5626"/>
    <w:rsid w:val="00626E33"/>
    <w:rsid w:val="00654DEC"/>
    <w:rsid w:val="006924C6"/>
    <w:rsid w:val="006978C2"/>
    <w:rsid w:val="006B2A90"/>
    <w:rsid w:val="006E5D41"/>
    <w:rsid w:val="007111E4"/>
    <w:rsid w:val="00711B1D"/>
    <w:rsid w:val="007B119E"/>
    <w:rsid w:val="007D4A50"/>
    <w:rsid w:val="007F075D"/>
    <w:rsid w:val="00810E0A"/>
    <w:rsid w:val="00817057"/>
    <w:rsid w:val="00821F34"/>
    <w:rsid w:val="00851A27"/>
    <w:rsid w:val="00883B1F"/>
    <w:rsid w:val="008A7694"/>
    <w:rsid w:val="008E17DC"/>
    <w:rsid w:val="008E3FAF"/>
    <w:rsid w:val="009163DE"/>
    <w:rsid w:val="00927CC0"/>
    <w:rsid w:val="00936180"/>
    <w:rsid w:val="009646A7"/>
    <w:rsid w:val="00A23E83"/>
    <w:rsid w:val="00A320FF"/>
    <w:rsid w:val="00A43C99"/>
    <w:rsid w:val="00A830BB"/>
    <w:rsid w:val="00AD39BC"/>
    <w:rsid w:val="00AE2746"/>
    <w:rsid w:val="00B036EE"/>
    <w:rsid w:val="00B12251"/>
    <w:rsid w:val="00B6763B"/>
    <w:rsid w:val="00BB27C3"/>
    <w:rsid w:val="00BC447B"/>
    <w:rsid w:val="00BF35AA"/>
    <w:rsid w:val="00C72B0F"/>
    <w:rsid w:val="00C85C40"/>
    <w:rsid w:val="00C873D9"/>
    <w:rsid w:val="00CC5BAD"/>
    <w:rsid w:val="00CF107A"/>
    <w:rsid w:val="00D13803"/>
    <w:rsid w:val="00D4101D"/>
    <w:rsid w:val="00D42A9F"/>
    <w:rsid w:val="00D606BB"/>
    <w:rsid w:val="00D60A75"/>
    <w:rsid w:val="00D60EF3"/>
    <w:rsid w:val="00D61753"/>
    <w:rsid w:val="00D61FA2"/>
    <w:rsid w:val="00D74A79"/>
    <w:rsid w:val="00D7617D"/>
    <w:rsid w:val="00DB1AC7"/>
    <w:rsid w:val="00E162E2"/>
    <w:rsid w:val="00E323F8"/>
    <w:rsid w:val="00E3608B"/>
    <w:rsid w:val="00E505A5"/>
    <w:rsid w:val="00E63504"/>
    <w:rsid w:val="00E7191F"/>
    <w:rsid w:val="00E75983"/>
    <w:rsid w:val="00E95110"/>
    <w:rsid w:val="00EB2DFF"/>
    <w:rsid w:val="00ED3388"/>
    <w:rsid w:val="00F20FD0"/>
    <w:rsid w:val="00F26ED1"/>
    <w:rsid w:val="00F7322A"/>
    <w:rsid w:val="00F938FB"/>
    <w:rsid w:val="00FD213A"/>
    <w:rsid w:val="00FE3031"/>
    <w:rsid w:val="0D8701EA"/>
    <w:rsid w:val="14AE5741"/>
    <w:rsid w:val="196B2362"/>
    <w:rsid w:val="1B32684C"/>
    <w:rsid w:val="2404416F"/>
    <w:rsid w:val="2A522D7E"/>
    <w:rsid w:val="2C4E413A"/>
    <w:rsid w:val="2DB51A75"/>
    <w:rsid w:val="2F410E0C"/>
    <w:rsid w:val="2FAE6169"/>
    <w:rsid w:val="300C67DF"/>
    <w:rsid w:val="344F5B64"/>
    <w:rsid w:val="37241C66"/>
    <w:rsid w:val="4414017F"/>
    <w:rsid w:val="48443157"/>
    <w:rsid w:val="497F1C4E"/>
    <w:rsid w:val="4DDA7083"/>
    <w:rsid w:val="529A2128"/>
    <w:rsid w:val="57690D9F"/>
    <w:rsid w:val="5BEE174F"/>
    <w:rsid w:val="645A729E"/>
    <w:rsid w:val="6C022E1D"/>
    <w:rsid w:val="7FDE10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99" w:semiHidden="0" w:name="toc 4"/>
    <w:lsdException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9"/>
    <w:pPr>
      <w:keepNext/>
      <w:keepLines/>
      <w:spacing w:before="340" w:after="330" w:line="576" w:lineRule="auto"/>
      <w:outlineLvl w:val="0"/>
    </w:pPr>
    <w:rPr>
      <w:b/>
      <w:kern w:val="44"/>
      <w:sz w:val="20"/>
      <w:szCs w:val="20"/>
    </w:rPr>
  </w:style>
  <w:style w:type="paragraph" w:styleId="4">
    <w:name w:val="heading 2"/>
    <w:basedOn w:val="1"/>
    <w:next w:val="1"/>
    <w:link w:val="34"/>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6">
    <w:name w:val="toc 7"/>
    <w:basedOn w:val="1"/>
    <w:next w:val="1"/>
    <w:qFormat/>
    <w:uiPriority w:val="99"/>
    <w:pPr>
      <w:ind w:left="1260"/>
      <w:jc w:val="left"/>
    </w:pPr>
    <w:rPr>
      <w:rFonts w:ascii="Calibri" w:hAnsi="Calibri"/>
      <w:sz w:val="18"/>
      <w:szCs w:val="18"/>
    </w:rPr>
  </w:style>
  <w:style w:type="paragraph" w:styleId="7">
    <w:name w:val="Document Map"/>
    <w:basedOn w:val="1"/>
    <w:link w:val="36"/>
    <w:semiHidden/>
    <w:qFormat/>
    <w:uiPriority w:val="99"/>
    <w:pPr>
      <w:shd w:val="clear" w:color="auto" w:fill="000080"/>
    </w:pPr>
  </w:style>
  <w:style w:type="paragraph" w:styleId="8">
    <w:name w:val="annotation text"/>
    <w:basedOn w:val="1"/>
    <w:link w:val="37"/>
    <w:semiHidden/>
    <w:qFormat/>
    <w:uiPriority w:val="99"/>
    <w:pPr>
      <w:jc w:val="left"/>
    </w:pPr>
    <w:rPr>
      <w:sz w:val="24"/>
    </w:rPr>
  </w:style>
  <w:style w:type="paragraph" w:styleId="9">
    <w:name w:val="toc 5"/>
    <w:basedOn w:val="1"/>
    <w:next w:val="1"/>
    <w:uiPriority w:val="99"/>
    <w:pPr>
      <w:ind w:left="840"/>
      <w:jc w:val="left"/>
    </w:pPr>
    <w:rPr>
      <w:rFonts w:ascii="Calibri" w:hAnsi="Calibri"/>
      <w:sz w:val="18"/>
      <w:szCs w:val="18"/>
    </w:rPr>
  </w:style>
  <w:style w:type="paragraph" w:styleId="10">
    <w:name w:val="toc 3"/>
    <w:basedOn w:val="1"/>
    <w:next w:val="1"/>
    <w:qFormat/>
    <w:uiPriority w:val="99"/>
    <w:pPr>
      <w:ind w:left="420"/>
      <w:jc w:val="left"/>
    </w:pPr>
    <w:rPr>
      <w:rFonts w:ascii="Calibri" w:hAnsi="Calibri"/>
      <w:i/>
      <w:iCs/>
      <w:sz w:val="20"/>
      <w:szCs w:val="20"/>
    </w:rPr>
  </w:style>
  <w:style w:type="paragraph" w:styleId="11">
    <w:name w:val="Plain Text"/>
    <w:basedOn w:val="1"/>
    <w:link w:val="38"/>
    <w:qFormat/>
    <w:uiPriority w:val="99"/>
    <w:rPr>
      <w:rFonts w:ascii="宋体" w:hAnsi="Courier New" w:cs="Courier New"/>
      <w:szCs w:val="21"/>
    </w:rPr>
  </w:style>
  <w:style w:type="paragraph" w:styleId="12">
    <w:name w:val="toc 8"/>
    <w:basedOn w:val="1"/>
    <w:next w:val="1"/>
    <w:qFormat/>
    <w:uiPriority w:val="99"/>
    <w:pPr>
      <w:ind w:left="1470"/>
      <w:jc w:val="left"/>
    </w:pPr>
    <w:rPr>
      <w:rFonts w:ascii="Calibri" w:hAnsi="Calibri"/>
      <w:sz w:val="18"/>
      <w:szCs w:val="18"/>
    </w:rPr>
  </w:style>
  <w:style w:type="paragraph" w:styleId="13">
    <w:name w:val="Date"/>
    <w:basedOn w:val="1"/>
    <w:next w:val="1"/>
    <w:link w:val="39"/>
    <w:qFormat/>
    <w:uiPriority w:val="99"/>
    <w:pPr>
      <w:ind w:left="100" w:leftChars="2500"/>
    </w:pPr>
  </w:style>
  <w:style w:type="paragraph" w:styleId="14">
    <w:name w:val="Balloon Text"/>
    <w:basedOn w:val="1"/>
    <w:link w:val="40"/>
    <w:semiHidden/>
    <w:qFormat/>
    <w:uiPriority w:val="99"/>
    <w:rPr>
      <w:rFonts w:ascii="Heiti SC Light" w:eastAsia="Times New Roman"/>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Calibri" w:hAnsi="Calibri"/>
      <w:b/>
      <w:bCs/>
      <w:caps/>
      <w:sz w:val="20"/>
      <w:szCs w:val="20"/>
    </w:rPr>
  </w:style>
  <w:style w:type="paragraph" w:styleId="18">
    <w:name w:val="toc 4"/>
    <w:basedOn w:val="1"/>
    <w:next w:val="1"/>
    <w:uiPriority w:val="99"/>
    <w:pPr>
      <w:ind w:left="630"/>
      <w:jc w:val="left"/>
    </w:pPr>
    <w:rPr>
      <w:rFonts w:ascii="Calibri" w:hAnsi="Calibri"/>
      <w:sz w:val="18"/>
      <w:szCs w:val="18"/>
    </w:rPr>
  </w:style>
  <w:style w:type="paragraph" w:styleId="19">
    <w:name w:val="toc 6"/>
    <w:basedOn w:val="1"/>
    <w:next w:val="1"/>
    <w:qFormat/>
    <w:uiPriority w:val="99"/>
    <w:pPr>
      <w:ind w:left="1050"/>
      <w:jc w:val="left"/>
    </w:pPr>
    <w:rPr>
      <w:rFonts w:ascii="Calibri" w:hAnsi="Calibri"/>
      <w:sz w:val="18"/>
      <w:szCs w:val="18"/>
    </w:rPr>
  </w:style>
  <w:style w:type="paragraph" w:styleId="20">
    <w:name w:val="toc 2"/>
    <w:basedOn w:val="1"/>
    <w:next w:val="1"/>
    <w:qFormat/>
    <w:uiPriority w:val="99"/>
    <w:pPr>
      <w:ind w:left="210"/>
      <w:jc w:val="left"/>
    </w:pPr>
    <w:rPr>
      <w:rFonts w:ascii="Calibri" w:hAnsi="Calibri"/>
      <w:smallCaps/>
      <w:sz w:val="20"/>
      <w:szCs w:val="20"/>
    </w:rPr>
  </w:style>
  <w:style w:type="paragraph" w:styleId="21">
    <w:name w:val="toc 9"/>
    <w:basedOn w:val="1"/>
    <w:next w:val="1"/>
    <w:qFormat/>
    <w:uiPriority w:val="99"/>
    <w:pPr>
      <w:ind w:left="1680"/>
      <w:jc w:val="left"/>
    </w:pPr>
    <w:rPr>
      <w:rFonts w:ascii="Calibri" w:hAnsi="Calibri"/>
      <w:sz w:val="18"/>
      <w:szCs w:val="18"/>
    </w:rPr>
  </w:style>
  <w:style w:type="paragraph" w:styleId="22">
    <w:name w:val="Body Text 2"/>
    <w:basedOn w:val="1"/>
    <w:link w:val="43"/>
    <w:qFormat/>
    <w:uiPriority w:val="99"/>
    <w:pPr>
      <w:widowControl/>
      <w:overflowPunct w:val="0"/>
      <w:autoSpaceDE w:val="0"/>
      <w:autoSpaceDN w:val="0"/>
      <w:adjustRightInd w:val="0"/>
      <w:spacing w:line="360" w:lineRule="auto"/>
      <w:ind w:firstLine="480" w:firstLineChars="200"/>
      <w:textAlignment w:val="baseline"/>
    </w:pPr>
    <w:rPr>
      <w:rFonts w:ascii="宋体" w:hAnsi="宋体" w:cs="宋体"/>
      <w:color w:val="000000"/>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8"/>
    <w:next w:val="8"/>
    <w:link w:val="44"/>
    <w:semiHidden/>
    <w:qFormat/>
    <w:uiPriority w:val="99"/>
    <w:rPr>
      <w:b/>
      <w:bCs/>
    </w:r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rPr>
  </w:style>
  <w:style w:type="character" w:styleId="29">
    <w:name w:val="page number"/>
    <w:basedOn w:val="27"/>
    <w:qFormat/>
    <w:uiPriority w:val="99"/>
    <w:rPr>
      <w:rFonts w:cs="Times New Roman"/>
    </w:rPr>
  </w:style>
  <w:style w:type="character" w:styleId="30">
    <w:name w:val="Emphasis"/>
    <w:basedOn w:val="27"/>
    <w:qFormat/>
    <w:uiPriority w:val="99"/>
    <w:rPr>
      <w:rFonts w:cs="Times New Roman"/>
      <w:i/>
    </w:rPr>
  </w:style>
  <w:style w:type="character" w:styleId="31">
    <w:name w:val="Hyperlink"/>
    <w:basedOn w:val="27"/>
    <w:qFormat/>
    <w:uiPriority w:val="99"/>
    <w:rPr>
      <w:rFonts w:cs="Times New Roman"/>
      <w:color w:val="0000FF"/>
      <w:u w:val="single"/>
    </w:rPr>
  </w:style>
  <w:style w:type="character" w:styleId="32">
    <w:name w:val="annotation reference"/>
    <w:basedOn w:val="27"/>
    <w:semiHidden/>
    <w:qFormat/>
    <w:uiPriority w:val="99"/>
    <w:rPr>
      <w:rFonts w:cs="Times New Roman"/>
      <w:sz w:val="21"/>
    </w:rPr>
  </w:style>
  <w:style w:type="character" w:customStyle="1" w:styleId="33">
    <w:name w:val="Heading 1 Char"/>
    <w:basedOn w:val="27"/>
    <w:qFormat/>
    <w:locked/>
    <w:uiPriority w:val="99"/>
    <w:rPr>
      <w:rFonts w:eastAsia="宋体" w:cs="Times New Roman"/>
      <w:b/>
      <w:kern w:val="44"/>
      <w:sz w:val="44"/>
      <w:lang w:val="en-US" w:eastAsia="zh-CN"/>
    </w:rPr>
  </w:style>
  <w:style w:type="character" w:customStyle="1" w:styleId="34">
    <w:name w:val="标题 2 Char"/>
    <w:basedOn w:val="27"/>
    <w:link w:val="4"/>
    <w:qFormat/>
    <w:locked/>
    <w:uiPriority w:val="99"/>
    <w:rPr>
      <w:rFonts w:ascii="Arial" w:hAnsi="Arial" w:eastAsia="黑体" w:cs="Times New Roman"/>
      <w:b/>
      <w:bCs/>
      <w:sz w:val="32"/>
      <w:szCs w:val="32"/>
    </w:rPr>
  </w:style>
  <w:style w:type="character" w:customStyle="1" w:styleId="35">
    <w:name w:val="标题 3 Char"/>
    <w:basedOn w:val="27"/>
    <w:link w:val="5"/>
    <w:qFormat/>
    <w:locked/>
    <w:uiPriority w:val="99"/>
    <w:rPr>
      <w:rFonts w:ascii="Times New Roman" w:hAnsi="Times New Roman" w:eastAsia="宋体" w:cs="Times New Roman"/>
      <w:b/>
      <w:bCs/>
      <w:sz w:val="32"/>
      <w:szCs w:val="32"/>
    </w:rPr>
  </w:style>
  <w:style w:type="character" w:customStyle="1" w:styleId="36">
    <w:name w:val="文档结构图 Char"/>
    <w:basedOn w:val="27"/>
    <w:link w:val="7"/>
    <w:semiHidden/>
    <w:locked/>
    <w:uiPriority w:val="99"/>
    <w:rPr>
      <w:rFonts w:ascii="Times New Roman" w:hAnsi="Times New Roman" w:eastAsia="宋体" w:cs="Times New Roman"/>
      <w:sz w:val="24"/>
      <w:szCs w:val="24"/>
      <w:shd w:val="clear" w:color="auto" w:fill="000080"/>
    </w:rPr>
  </w:style>
  <w:style w:type="character" w:customStyle="1" w:styleId="37">
    <w:name w:val="批注文字 Char"/>
    <w:basedOn w:val="27"/>
    <w:link w:val="8"/>
    <w:qFormat/>
    <w:locked/>
    <w:uiPriority w:val="99"/>
    <w:rPr>
      <w:rFonts w:ascii="Times New Roman" w:hAnsi="Times New Roman" w:eastAsia="宋体" w:cs="Times New Roman"/>
      <w:sz w:val="24"/>
      <w:szCs w:val="24"/>
    </w:rPr>
  </w:style>
  <w:style w:type="character" w:customStyle="1" w:styleId="38">
    <w:name w:val="纯文本 Char"/>
    <w:basedOn w:val="27"/>
    <w:link w:val="11"/>
    <w:qFormat/>
    <w:locked/>
    <w:uiPriority w:val="99"/>
    <w:rPr>
      <w:rFonts w:ascii="宋体" w:hAnsi="Courier New" w:eastAsia="宋体" w:cs="Courier New"/>
      <w:sz w:val="21"/>
      <w:szCs w:val="21"/>
    </w:rPr>
  </w:style>
  <w:style w:type="character" w:customStyle="1" w:styleId="39">
    <w:name w:val="日期 Char"/>
    <w:basedOn w:val="27"/>
    <w:link w:val="13"/>
    <w:qFormat/>
    <w:locked/>
    <w:uiPriority w:val="99"/>
    <w:rPr>
      <w:rFonts w:ascii="Times New Roman" w:hAnsi="Times New Roman" w:eastAsia="宋体" w:cs="Times New Roman"/>
      <w:sz w:val="24"/>
      <w:szCs w:val="24"/>
    </w:rPr>
  </w:style>
  <w:style w:type="character" w:customStyle="1" w:styleId="40">
    <w:name w:val="批注框文本 Char"/>
    <w:basedOn w:val="27"/>
    <w:link w:val="14"/>
    <w:qFormat/>
    <w:locked/>
    <w:uiPriority w:val="99"/>
    <w:rPr>
      <w:rFonts w:ascii="Heiti SC Light" w:hAnsi="Times New Roman" w:eastAsia="Times New Roman" w:cs="Times New Roman"/>
      <w:sz w:val="18"/>
      <w:szCs w:val="18"/>
    </w:rPr>
  </w:style>
  <w:style w:type="character" w:customStyle="1" w:styleId="41">
    <w:name w:val="页脚 Char"/>
    <w:basedOn w:val="27"/>
    <w:link w:val="15"/>
    <w:qFormat/>
    <w:locked/>
    <w:uiPriority w:val="99"/>
    <w:rPr>
      <w:rFonts w:cs="Times New Roman"/>
      <w:sz w:val="18"/>
      <w:szCs w:val="18"/>
    </w:rPr>
  </w:style>
  <w:style w:type="character" w:customStyle="1" w:styleId="42">
    <w:name w:val="页眉 Char"/>
    <w:basedOn w:val="27"/>
    <w:link w:val="16"/>
    <w:qFormat/>
    <w:locked/>
    <w:uiPriority w:val="99"/>
    <w:rPr>
      <w:rFonts w:cs="Times New Roman"/>
      <w:sz w:val="18"/>
      <w:szCs w:val="18"/>
    </w:rPr>
  </w:style>
  <w:style w:type="character" w:customStyle="1" w:styleId="43">
    <w:name w:val="正文文本 2 Char"/>
    <w:basedOn w:val="27"/>
    <w:link w:val="22"/>
    <w:qFormat/>
    <w:locked/>
    <w:uiPriority w:val="99"/>
    <w:rPr>
      <w:rFonts w:ascii="宋体" w:hAnsi="宋体" w:eastAsia="宋体" w:cs="宋体"/>
      <w:color w:val="000000"/>
      <w:kern w:val="0"/>
      <w:sz w:val="24"/>
      <w:szCs w:val="24"/>
    </w:rPr>
  </w:style>
  <w:style w:type="character" w:customStyle="1" w:styleId="44">
    <w:name w:val="批注主题 Char"/>
    <w:basedOn w:val="37"/>
    <w:link w:val="24"/>
    <w:semiHidden/>
    <w:qFormat/>
    <w:locked/>
    <w:uiPriority w:val="99"/>
    <w:rPr>
      <w:rFonts w:ascii="Times New Roman" w:hAnsi="Times New Roman" w:eastAsia="宋体" w:cs="Times New Roman"/>
      <w:b/>
      <w:bCs/>
      <w:sz w:val="24"/>
      <w:szCs w:val="24"/>
    </w:rPr>
  </w:style>
  <w:style w:type="character" w:customStyle="1" w:styleId="45">
    <w:name w:val="标题 1 Char"/>
    <w:basedOn w:val="27"/>
    <w:qFormat/>
    <w:locked/>
    <w:uiPriority w:val="99"/>
    <w:rPr>
      <w:rFonts w:ascii="Times New Roman" w:hAnsi="Times New Roman" w:eastAsia="宋体" w:cs="Times New Roman"/>
      <w:b/>
      <w:bCs/>
      <w:kern w:val="44"/>
      <w:sz w:val="44"/>
      <w:szCs w:val="44"/>
    </w:rPr>
  </w:style>
  <w:style w:type="character" w:customStyle="1" w:styleId="46">
    <w:name w:val="标题 1 Char1"/>
    <w:link w:val="3"/>
    <w:qFormat/>
    <w:locked/>
    <w:uiPriority w:val="99"/>
    <w:rPr>
      <w:rFonts w:ascii="Times New Roman" w:hAnsi="Times New Roman" w:eastAsia="宋体"/>
      <w:b/>
      <w:kern w:val="44"/>
      <w:sz w:val="20"/>
    </w:rPr>
  </w:style>
  <w:style w:type="character" w:customStyle="1" w:styleId="47">
    <w:name w:val="页眉 Char1"/>
    <w:qFormat/>
    <w:locked/>
    <w:uiPriority w:val="99"/>
    <w:rPr>
      <w:kern w:val="2"/>
      <w:sz w:val="18"/>
    </w:rPr>
  </w:style>
  <w:style w:type="paragraph" w:customStyle="1" w:styleId="48">
    <w:name w:val="一级标题"/>
    <w:basedOn w:val="1"/>
    <w:qFormat/>
    <w:uiPriority w:val="99"/>
    <w:pPr>
      <w:ind w:firstLine="420" w:firstLineChars="200"/>
      <w:outlineLvl w:val="2"/>
    </w:pPr>
    <w:rPr>
      <w:rFonts w:ascii="Arial" w:hAnsi="Arial" w:cs="Arial"/>
      <w:b/>
    </w:rPr>
  </w:style>
  <w:style w:type="paragraph" w:styleId="49">
    <w:name w:val="List Paragraph"/>
    <w:basedOn w:val="1"/>
    <w:qFormat/>
    <w:uiPriority w:val="99"/>
    <w:pPr>
      <w:ind w:firstLine="420" w:firstLineChars="200"/>
    </w:pPr>
  </w:style>
  <w:style w:type="paragraph" w:customStyle="1" w:styleId="50">
    <w:name w:val="1"/>
    <w:basedOn w:val="1"/>
    <w:qFormat/>
    <w:uiPriority w:val="99"/>
    <w:rPr>
      <w:rFonts w:ascii="Tahoma" w:hAnsi="Tahoma"/>
      <w:sz w:val="24"/>
      <w:szCs w:val="20"/>
    </w:rPr>
  </w:style>
  <w:style w:type="paragraph" w:customStyle="1" w:styleId="51">
    <w:name w:val="需求3级"/>
    <w:basedOn w:val="5"/>
    <w:next w:val="1"/>
    <w:qFormat/>
    <w:uiPriority w:val="99"/>
    <w:pPr>
      <w:spacing w:before="360" w:line="360" w:lineRule="auto"/>
    </w:pPr>
    <w:rPr>
      <w:rFonts w:ascii="方正小标宋简体" w:hAnsi="宋体" w:eastAsia="方正小标宋简体"/>
      <w:b w:val="0"/>
      <w:sz w:val="24"/>
      <w:szCs w:val="24"/>
    </w:rPr>
  </w:style>
  <w:style w:type="paragraph" w:customStyle="1" w:styleId="52">
    <w:name w:val="需求正文"/>
    <w:basedOn w:val="1"/>
    <w:qFormat/>
    <w:uiPriority w:val="99"/>
    <w:pPr>
      <w:spacing w:line="360" w:lineRule="auto"/>
      <w:ind w:firstLine="200" w:firstLineChars="200"/>
    </w:pPr>
    <w:rPr>
      <w:rFonts w:ascii="宋体" w:hAnsi="宋体"/>
      <w:sz w:val="24"/>
    </w:rPr>
  </w:style>
  <w:style w:type="paragraph" w:customStyle="1" w:styleId="53">
    <w:name w:val="List Paragraph1"/>
    <w:basedOn w:val="1"/>
    <w:qFormat/>
    <w:uiPriority w:val="99"/>
    <w:pPr>
      <w:ind w:firstLine="420" w:firstLineChars="200"/>
    </w:pPr>
  </w:style>
  <w:style w:type="character" w:customStyle="1" w:styleId="54">
    <w:name w:val="fck__anchor1"/>
    <w:qFormat/>
    <w:uiPriority w:val="99"/>
    <w:rPr>
      <w:bdr w:val="dotted" w:color="0000FF" w:sz="6" w:space="0"/>
    </w:rPr>
  </w:style>
  <w:style w:type="character" w:customStyle="1" w:styleId="55">
    <w:name w:val="未处理的提及1"/>
    <w:qFormat/>
    <w:uiPriority w:val="99"/>
    <w:rPr>
      <w:color w:val="808080"/>
      <w:shd w:val="clear" w:color="auto" w:fill="E6E6E6"/>
    </w:rPr>
  </w:style>
  <w:style w:type="paragraph" w:customStyle="1" w:styleId="56">
    <w:name w:val="SBBZW"/>
    <w:basedOn w:val="1"/>
    <w:qFormat/>
    <w:uiPriority w:val="0"/>
    <w:pPr>
      <w:spacing w:line="360" w:lineRule="auto"/>
      <w:ind w:firstLine="480" w:firstLineChars="200"/>
    </w:pPr>
    <w:rPr>
      <w:rFonts w:ascii="宋体" w:hAnsi="宋体"/>
      <w:sz w:val="24"/>
    </w:rPr>
  </w:style>
  <w:style w:type="paragraph" w:customStyle="1" w:styleId="57">
    <w:name w:val="SBBL1"/>
    <w:basedOn w:val="3"/>
    <w:qFormat/>
    <w:uiPriority w:val="99"/>
    <w:pPr>
      <w:spacing w:beforeLines="100" w:afterLines="150" w:line="360" w:lineRule="auto"/>
      <w:jc w:val="center"/>
    </w:pPr>
    <w:rPr>
      <w:rFonts w:ascii="方正小标宋简体" w:hAnsi="宋体" w:eastAsia="方正小标宋简体" w:cs="宋体"/>
      <w:b w:val="0"/>
      <w:sz w:val="28"/>
      <w:szCs w:val="28"/>
    </w:rPr>
  </w:style>
  <w:style w:type="paragraph" w:customStyle="1" w:styleId="58">
    <w:name w:val="SBBZEDD"/>
    <w:basedOn w:val="56"/>
    <w:qFormat/>
    <w:uiPriority w:val="99"/>
    <w:pPr>
      <w:numPr>
        <w:ilvl w:val="1"/>
        <w:numId w:val="1"/>
      </w:numPr>
      <w:ind w:firstLine="0" w:firstLineChars="0"/>
    </w:pPr>
  </w:style>
  <w:style w:type="paragraph" w:customStyle="1" w:styleId="59">
    <w:name w:val="SBBL2"/>
    <w:basedOn w:val="1"/>
    <w:qFormat/>
    <w:uiPriority w:val="99"/>
    <w:pPr>
      <w:spacing w:line="360" w:lineRule="auto"/>
      <w:ind w:firstLine="200" w:firstLineChars="200"/>
      <w:jc w:val="left"/>
      <w:outlineLvl w:val="1"/>
    </w:pPr>
    <w:rPr>
      <w:rFonts w:ascii="宋体" w:hAnsi="宋体" w:cs="Calibri"/>
      <w:b/>
      <w:sz w:val="24"/>
    </w:rPr>
  </w:style>
  <w:style w:type="paragraph" w:customStyle="1" w:styleId="60">
    <w:name w:val="SBBL3"/>
    <w:basedOn w:val="1"/>
    <w:qFormat/>
    <w:uiPriority w:val="99"/>
    <w:pPr>
      <w:spacing w:line="360" w:lineRule="auto"/>
      <w:ind w:firstLine="480" w:firstLineChars="200"/>
      <w:outlineLvl w:val="2"/>
    </w:pPr>
    <w:rPr>
      <w:rFonts w:ascii="黑体" w:hAnsi="黑体" w:eastAsia="黑体" w:cs="Calibri"/>
      <w:sz w:val="24"/>
    </w:rPr>
  </w:style>
  <w:style w:type="paragraph" w:customStyle="1" w:styleId="61">
    <w:name w:val="SBBT1"/>
    <w:basedOn w:val="56"/>
    <w:qFormat/>
    <w:uiPriority w:val="0"/>
    <w:pPr>
      <w:tabs>
        <w:tab w:val="center" w:pos="4678"/>
      </w:tabs>
      <w:ind w:firstLine="0" w:firstLineChars="0"/>
      <w:jc w:val="left"/>
      <w:outlineLvl w:val="0"/>
    </w:pPr>
    <w:rPr>
      <w:rFonts w:cs="宋体"/>
      <w:b/>
      <w:bCs/>
      <w:kern w:val="0"/>
      <w:sz w:val="28"/>
      <w:szCs w:val="28"/>
    </w:rPr>
  </w:style>
  <w:style w:type="paragraph" w:customStyle="1" w:styleId="62">
    <w:name w:val="SBBT2"/>
    <w:basedOn w:val="61"/>
    <w:qFormat/>
    <w:uiPriority w:val="0"/>
    <w:pPr>
      <w:tabs>
        <w:tab w:val="center" w:pos="6521"/>
        <w:tab w:val="clear" w:pos="4678"/>
      </w:tabs>
    </w:pPr>
  </w:style>
  <w:style w:type="character" w:customStyle="1" w:styleId="63">
    <w:name w:val="未处理的提及"/>
    <w:semiHidden/>
    <w:qFormat/>
    <w:uiPriority w:val="99"/>
    <w:rPr>
      <w:color w:val="808080"/>
      <w:shd w:val="clear" w:color="auto" w:fill="E6E6E6"/>
    </w:rPr>
  </w:style>
  <w:style w:type="character" w:styleId="64">
    <w:name w:val="Placeholder Text"/>
    <w:basedOn w:val="27"/>
    <w:semiHidden/>
    <w:qFormat/>
    <w:uiPriority w:val="99"/>
    <w:rPr>
      <w:rFonts w:cs="Times New Roman"/>
      <w:color w:val="808080"/>
    </w:rPr>
  </w:style>
  <w:style w:type="paragraph" w:customStyle="1" w:styleId="65">
    <w:name w:val="目录 41"/>
    <w:basedOn w:val="1"/>
    <w:next w:val="1"/>
    <w:qFormat/>
    <w:uiPriority w:val="99"/>
    <w:pPr>
      <w:ind w:left="630"/>
      <w:jc w:val="left"/>
    </w:pPr>
    <w:rPr>
      <w:rFonts w:ascii="Calibri" w:hAnsi="Calibri" w:cs="Calibri"/>
      <w:sz w:val="18"/>
      <w:szCs w:val="18"/>
    </w:rPr>
  </w:style>
  <w:style w:type="paragraph" w:customStyle="1" w:styleId="66">
    <w:name w:val="ZBBZWBg"/>
    <w:basedOn w:val="56"/>
    <w:qFormat/>
    <w:uiPriority w:val="99"/>
    <w:pPr>
      <w:ind w:firstLine="0" w:firstLineChars="0"/>
      <w:jc w:val="center"/>
    </w:pPr>
    <w:rPr>
      <w:rFonts w:cs="宋体"/>
      <w:b/>
      <w:bCs/>
    </w:rPr>
  </w:style>
  <w:style w:type="paragraph" w:customStyle="1" w:styleId="67">
    <w:name w:val="目录 11"/>
    <w:basedOn w:val="1"/>
    <w:next w:val="1"/>
    <w:uiPriority w:val="99"/>
    <w:pPr>
      <w:spacing w:before="120" w:after="120"/>
      <w:jc w:val="left"/>
    </w:pPr>
    <w:rPr>
      <w:rFonts w:ascii="Calibri" w:hAnsi="Calibri" w:cs="Calibri"/>
      <w:b/>
      <w:bCs/>
      <w:caps/>
      <w:sz w:val="20"/>
      <w:szCs w:val="20"/>
    </w:rPr>
  </w:style>
  <w:style w:type="paragraph" w:customStyle="1" w:styleId="68">
    <w:name w:val="目录 21"/>
    <w:basedOn w:val="1"/>
    <w:next w:val="1"/>
    <w:uiPriority w:val="99"/>
    <w:pPr>
      <w:ind w:left="210"/>
      <w:jc w:val="left"/>
    </w:pPr>
    <w:rPr>
      <w:rFonts w:ascii="Calibri" w:hAnsi="Calibri" w:cs="Calibri"/>
      <w:smallCaps/>
      <w:sz w:val="20"/>
      <w:szCs w:val="20"/>
    </w:rPr>
  </w:style>
  <w:style w:type="paragraph" w:customStyle="1" w:styleId="69">
    <w:name w:val="目录 31"/>
    <w:basedOn w:val="1"/>
    <w:next w:val="1"/>
    <w:uiPriority w:val="99"/>
    <w:pPr>
      <w:ind w:left="420"/>
      <w:jc w:val="left"/>
    </w:pPr>
    <w:rPr>
      <w:rFonts w:ascii="Calibri" w:hAnsi="Calibri" w:cs="Calibri"/>
      <w:i/>
      <w:iCs/>
      <w:sz w:val="20"/>
      <w:szCs w:val="20"/>
    </w:rPr>
  </w:style>
  <w:style w:type="paragraph" w:customStyle="1" w:styleId="70">
    <w:name w:val="目录 51"/>
    <w:basedOn w:val="1"/>
    <w:next w:val="1"/>
    <w:uiPriority w:val="99"/>
    <w:pPr>
      <w:ind w:left="840"/>
      <w:jc w:val="left"/>
    </w:pPr>
    <w:rPr>
      <w:rFonts w:ascii="Calibri" w:hAnsi="Calibri" w:cs="Calibri"/>
      <w:sz w:val="18"/>
      <w:szCs w:val="18"/>
    </w:rPr>
  </w:style>
  <w:style w:type="paragraph" w:customStyle="1" w:styleId="71">
    <w:name w:val="目录 61"/>
    <w:basedOn w:val="1"/>
    <w:next w:val="1"/>
    <w:uiPriority w:val="99"/>
    <w:pPr>
      <w:ind w:left="1050"/>
      <w:jc w:val="left"/>
    </w:pPr>
    <w:rPr>
      <w:rFonts w:ascii="Calibri" w:hAnsi="Calibri" w:cs="Calibri"/>
      <w:sz w:val="18"/>
      <w:szCs w:val="18"/>
    </w:rPr>
  </w:style>
  <w:style w:type="paragraph" w:customStyle="1" w:styleId="72">
    <w:name w:val="目录 71"/>
    <w:basedOn w:val="1"/>
    <w:next w:val="1"/>
    <w:uiPriority w:val="99"/>
    <w:pPr>
      <w:ind w:left="1260"/>
      <w:jc w:val="left"/>
    </w:pPr>
    <w:rPr>
      <w:rFonts w:ascii="Calibri" w:hAnsi="Calibri" w:cs="Calibri"/>
      <w:sz w:val="18"/>
      <w:szCs w:val="18"/>
    </w:rPr>
  </w:style>
  <w:style w:type="paragraph" w:customStyle="1" w:styleId="73">
    <w:name w:val="目录 81"/>
    <w:basedOn w:val="1"/>
    <w:next w:val="1"/>
    <w:uiPriority w:val="99"/>
    <w:pPr>
      <w:ind w:left="1470"/>
      <w:jc w:val="left"/>
    </w:pPr>
    <w:rPr>
      <w:rFonts w:ascii="Calibri" w:hAnsi="Calibri" w:cs="Calibri"/>
      <w:sz w:val="18"/>
      <w:szCs w:val="18"/>
    </w:rPr>
  </w:style>
  <w:style w:type="paragraph" w:customStyle="1" w:styleId="74">
    <w:name w:val="目录 91"/>
    <w:basedOn w:val="1"/>
    <w:next w:val="1"/>
    <w:uiPriority w:val="99"/>
    <w:pPr>
      <w:ind w:left="1680"/>
      <w:jc w:val="left"/>
    </w:pPr>
    <w:rPr>
      <w:rFonts w:ascii="Calibri" w:hAnsi="Calibri" w:cs="Calibri"/>
      <w:sz w:val="18"/>
      <w:szCs w:val="18"/>
    </w:rPr>
  </w:style>
  <w:style w:type="paragraph" w:customStyle="1" w:styleId="75">
    <w:name w:val="列出段落1"/>
    <w:basedOn w:val="1"/>
    <w:uiPriority w:val="99"/>
    <w:pPr>
      <w:ind w:firstLine="420" w:firstLineChars="200"/>
    </w:pPr>
    <w:rPr>
      <w:szCs w:val="21"/>
    </w:rPr>
  </w:style>
  <w:style w:type="character" w:customStyle="1" w:styleId="76">
    <w:name w:val="未处理的提及2"/>
    <w:uiPriority w:val="99"/>
    <w:rPr>
      <w:color w:val="808080"/>
      <w:shd w:val="clear" w:color="auto" w:fill="auto"/>
    </w:rPr>
  </w:style>
  <w:style w:type="character" w:customStyle="1" w:styleId="77">
    <w:name w:val="占位符文本1"/>
    <w:semiHidden/>
    <w:qFormat/>
    <w:uiPriority w:val="99"/>
    <w:rPr>
      <w:color w:val="808080"/>
    </w:rPr>
  </w:style>
  <w:style w:type="paragraph" w:customStyle="1" w:styleId="78">
    <w:name w:val="列出段落2"/>
    <w:basedOn w:val="1"/>
    <w:uiPriority w:val="99"/>
    <w:pPr>
      <w:ind w:firstLine="420" w:firstLineChars="200"/>
    </w:pPr>
    <w:rPr>
      <w:szCs w:val="21"/>
    </w:rPr>
  </w:style>
  <w:style w:type="paragraph" w:customStyle="1" w:styleId="79">
    <w:name w:val="Char Char Char"/>
    <w:basedOn w:val="1"/>
    <w:uiPriority w:val="99"/>
    <w:rPr>
      <w:rFonts w:ascii="Tahoma" w:hAnsi="Tahoma" w:cs="Tahoma"/>
      <w:sz w:val="24"/>
    </w:rPr>
  </w:style>
  <w:style w:type="character" w:customStyle="1" w:styleId="80">
    <w:name w:val="font31"/>
    <w:uiPriority w:val="99"/>
    <w:rPr>
      <w:rFonts w:ascii="宋体" w:hAnsi="宋体" w:eastAsia="宋体"/>
      <w:color w:val="FF0000"/>
      <w:sz w:val="20"/>
      <w:u w:val="none"/>
    </w:rPr>
  </w:style>
  <w:style w:type="character" w:customStyle="1" w:styleId="81">
    <w:name w:val="font51"/>
    <w:qFormat/>
    <w:uiPriority w:val="99"/>
    <w:rPr>
      <w:rFonts w:ascii="宋体" w:hAnsi="宋体" w:eastAsia="宋体"/>
      <w:color w:val="000000"/>
      <w:sz w:val="20"/>
      <w:u w:val="none"/>
    </w:rPr>
  </w:style>
  <w:style w:type="character" w:customStyle="1" w:styleId="82">
    <w:name w:val="font01"/>
    <w:uiPriority w:val="99"/>
    <w:rPr>
      <w:rFonts w:ascii="宋体" w:hAnsi="宋体" w:eastAsia="宋体"/>
      <w:color w:val="000000"/>
      <w:sz w:val="20"/>
      <w:u w:val="none"/>
    </w:rPr>
  </w:style>
  <w:style w:type="character" w:customStyle="1" w:styleId="83">
    <w:name w:val="font41"/>
    <w:uiPriority w:val="99"/>
    <w:rPr>
      <w:rFonts w:ascii="宋体" w:hAnsi="宋体" w:eastAsia="宋体"/>
      <w:color w:val="000000"/>
      <w:sz w:val="20"/>
      <w:u w:val="none"/>
    </w:rPr>
  </w:style>
  <w:style w:type="character" w:customStyle="1" w:styleId="84">
    <w:name w:val="font11"/>
    <w:uiPriority w:val="99"/>
    <w:rPr>
      <w:rFonts w:ascii="宋体" w:hAnsi="宋体" w:eastAsia="宋体"/>
      <w:color w:val="000000"/>
      <w:sz w:val="20"/>
      <w:u w:val="none"/>
    </w:rPr>
  </w:style>
  <w:style w:type="paragraph" w:customStyle="1" w:styleId="85">
    <w:name w:val="列表段落1"/>
    <w:basedOn w:val="1"/>
    <w:uiPriority w:val="99"/>
    <w:pPr>
      <w:ind w:firstLine="420" w:firstLineChars="200"/>
    </w:pPr>
    <w:rPr>
      <w:szCs w:val="21"/>
    </w:rPr>
  </w:style>
  <w:style w:type="paragraph" w:customStyle="1" w:styleId="86">
    <w:name w:val="_Style 8"/>
    <w:basedOn w:val="1"/>
    <w:qFormat/>
    <w:uiPriority w:val="99"/>
    <w:rPr>
      <w:rFonts w:ascii="Tahoma" w:hAnsi="Tahoma"/>
      <w:sz w:val="24"/>
      <w:szCs w:val="20"/>
    </w:rPr>
  </w:style>
  <w:style w:type="paragraph" w:customStyle="1" w:styleId="87">
    <w:name w:val="竖表标题不含说明"/>
    <w:basedOn w:val="88"/>
    <w:qFormat/>
    <w:uiPriority w:val="99"/>
    <w:pPr>
      <w:tabs>
        <w:tab w:val="center" w:pos="4820"/>
      </w:tabs>
      <w:spacing w:beforeLines="0" w:afterLines="0" w:line="240" w:lineRule="auto"/>
    </w:pPr>
  </w:style>
  <w:style w:type="paragraph" w:customStyle="1" w:styleId="88">
    <w:name w:val="竖表标题1级"/>
    <w:basedOn w:val="61"/>
    <w:qFormat/>
    <w:uiPriority w:val="99"/>
    <w:pPr>
      <w:tabs>
        <w:tab w:val="center" w:pos="4820"/>
        <w:tab w:val="clear" w:pos="4678"/>
      </w:tabs>
      <w:spacing w:beforeLines="100" w:afterLines="100"/>
    </w:pPr>
  </w:style>
  <w:style w:type="paragraph" w:customStyle="1" w:styleId="89">
    <w:name w:val="TOC Heading1"/>
    <w:basedOn w:val="3"/>
    <w:next w:val="1"/>
    <w:uiPriority w:val="99"/>
    <w:pPr>
      <w:widowControl/>
      <w:spacing w:before="480" w:after="0" w:line="276" w:lineRule="auto"/>
      <w:jc w:val="left"/>
      <w:outlineLvl w:val="9"/>
    </w:pPr>
    <w:rPr>
      <w:rFonts w:ascii="Cambria" w:hAnsi="Cambria"/>
      <w:bCs/>
      <w:color w:val="365F91"/>
      <w:kern w:val="0"/>
      <w:sz w:val="28"/>
      <w:szCs w:val="28"/>
    </w:rPr>
  </w:style>
  <w:style w:type="paragraph" w:customStyle="1" w:styleId="90">
    <w:name w:val="列出段落3"/>
    <w:basedOn w:val="1"/>
    <w:qFormat/>
    <w:uiPriority w:val="0"/>
    <w:pPr>
      <w:ind w:firstLine="420" w:firstLineChars="200"/>
    </w:pPr>
  </w:style>
  <w:style w:type="paragraph" w:customStyle="1" w:styleId="91">
    <w:name w:val="表格1级"/>
    <w:basedOn w:val="1"/>
    <w:uiPriority w:val="0"/>
    <w:pPr>
      <w:tabs>
        <w:tab w:val="left" w:pos="210"/>
        <w:tab w:val="center" w:pos="4620"/>
      </w:tabs>
      <w:spacing w:before="50" w:beforeLines="50" w:after="50" w:afterLines="50"/>
      <w:jc w:val="center"/>
      <w:outlineLvl w:val="0"/>
    </w:pPr>
    <w:rPr>
      <w:rFonts w:eastAsia="CESI宋体-GB2312"/>
      <w:b/>
      <w:sz w:val="28"/>
    </w:rPr>
  </w:style>
  <w:style w:type="paragraph" w:customStyle="1" w:styleId="92">
    <w:name w:val="说明1级"/>
    <w:basedOn w:val="1"/>
    <w:uiPriority w:val="0"/>
    <w:pPr>
      <w:tabs>
        <w:tab w:val="center" w:pos="4200"/>
      </w:tabs>
      <w:spacing w:before="50" w:beforeLines="50" w:after="50" w:afterLines="50" w:line="360" w:lineRule="auto"/>
      <w:jc w:val="center"/>
      <w:outlineLvl w:val="0"/>
    </w:pPr>
    <w:rPr>
      <w:rFonts w:eastAsia="CESI宋体-GB2312"/>
      <w:b/>
      <w:sz w:val="28"/>
    </w:rPr>
  </w:style>
  <w:style w:type="paragraph" w:customStyle="1" w:styleId="93">
    <w:name w:val="填报说明正文"/>
    <w:basedOn w:val="1"/>
    <w:link w:val="94"/>
    <w:uiPriority w:val="0"/>
    <w:pPr>
      <w:spacing w:line="480" w:lineRule="exact"/>
      <w:ind w:firstLine="640" w:firstLineChars="200"/>
    </w:pPr>
    <w:rPr>
      <w:rFonts w:eastAsia="CESI宋体-GB2312"/>
      <w:sz w:val="24"/>
    </w:rPr>
  </w:style>
  <w:style w:type="character" w:customStyle="1" w:styleId="94">
    <w:name w:val="填报说明正文 Char"/>
    <w:link w:val="93"/>
    <w:uiPriority w:val="0"/>
    <w:rPr>
      <w:rFonts w:eastAsia="CESI宋体-GB2312"/>
      <w:kern w:val="2"/>
      <w:sz w:val="24"/>
      <w:szCs w:val="24"/>
    </w:rPr>
  </w:style>
  <w:style w:type="paragraph" w:customStyle="1" w:styleId="95">
    <w:name w:val="文章内表格标题"/>
    <w:basedOn w:val="1"/>
    <w:uiPriority w:val="0"/>
    <w:pPr>
      <w:snapToGrid w:val="0"/>
      <w:spacing w:line="520" w:lineRule="exact"/>
      <w:jc w:val="center"/>
    </w:pPr>
    <w:rPr>
      <w:rFonts w:eastAsia="CESI宋体-GB2312"/>
      <w:b/>
      <w:sz w:val="24"/>
    </w:rPr>
  </w:style>
  <w:style w:type="paragraph" w:customStyle="1" w:styleId="96">
    <w:name w:val="说明2级"/>
    <w:basedOn w:val="1"/>
    <w:uiPriority w:val="0"/>
    <w:pPr>
      <w:spacing w:before="50" w:beforeLines="50" w:line="360" w:lineRule="auto"/>
      <w:ind w:firstLine="640" w:firstLineChars="200"/>
      <w:outlineLvl w:val="1"/>
    </w:pPr>
    <w:rPr>
      <w:rFonts w:eastAsia="CESI黑体-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1846</Words>
  <Characters>2068</Characters>
  <Lines>15</Lines>
  <Paragraphs>4</Paragraphs>
  <TotalTime>0</TotalTime>
  <ScaleCrop>false</ScaleCrop>
  <LinksUpToDate>false</LinksUpToDate>
  <CharactersWithSpaces>2096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2022-01-08T12:06:00Z</dcterms:created>
  <dc:creator>曹凯</dc:creator>
  <cp:lastModifiedBy>tsuser</cp:lastModifiedBy>
  <cp:lastPrinted>2018-01-30T01:54:00Z</cp:lastPrinted>
  <dcterms:modified xsi:type="dcterms:W3CDTF">2025-01-27T03:06:48Z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eyJoZGlkIjoiYWI0MTczMTlmZGQwMDlkNjE0Y2E2NDViNmNjNWY1ZmYifQ==</vt:lpwstr>
  </property>
  <property fmtid="{D5CDD505-2E9C-101B-9397-08002B2CF9AE}" pid="4" name="ICV">
    <vt:lpwstr>75C557C53F7E418284BB76DC45CF87C3_12</vt:lpwstr>
  </property>
</Properties>
</file>