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67F6D">
      <w:pPr>
        <w:pStyle w:val="62"/>
        <w:tabs>
          <w:tab w:val="center" w:pos="6946"/>
        </w:tabs>
      </w:pPr>
      <w:bookmarkStart w:id="0" w:name="_Toc24965057"/>
      <w:r>
        <w:t>A107011</w:t>
      </w:r>
      <w:r>
        <w:tab/>
      </w:r>
      <w:r>
        <w:rPr>
          <w:rFonts w:hint="eastAsia"/>
        </w:rPr>
        <w:t>符合条件的居民企业之间的股息、红利等权益性投资收益优惠明细表</w:t>
      </w:r>
      <w:bookmarkEnd w:id="0"/>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6"/>
        <w:gridCol w:w="703"/>
        <w:gridCol w:w="866"/>
        <w:gridCol w:w="627"/>
        <w:gridCol w:w="666"/>
        <w:gridCol w:w="627"/>
        <w:gridCol w:w="835"/>
        <w:gridCol w:w="1059"/>
        <w:gridCol w:w="11"/>
        <w:gridCol w:w="771"/>
        <w:gridCol w:w="1043"/>
        <w:gridCol w:w="863"/>
        <w:gridCol w:w="860"/>
        <w:gridCol w:w="666"/>
        <w:gridCol w:w="866"/>
        <w:gridCol w:w="1116"/>
        <w:gridCol w:w="1283"/>
        <w:gridCol w:w="741"/>
        <w:gridCol w:w="708"/>
      </w:tblGrid>
      <w:tr w14:paraId="06CB7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16" w:type="dxa"/>
            <w:vMerge w:val="restart"/>
            <w:tcBorders>
              <w:top w:val="single" w:color="auto" w:sz="12" w:space="0"/>
            </w:tcBorders>
            <w:vAlign w:val="center"/>
          </w:tcPr>
          <w:p w14:paraId="2126D481">
            <w:pPr>
              <w:widowControl/>
              <w:jc w:val="center"/>
              <w:rPr>
                <w:rFonts w:ascii="宋体" w:cs="宋体"/>
                <w:kern w:val="0"/>
                <w:sz w:val="20"/>
                <w:szCs w:val="20"/>
              </w:rPr>
            </w:pPr>
            <w:r>
              <w:rPr>
                <w:rFonts w:hint="eastAsia" w:ascii="宋体" w:hAnsi="宋体" w:cs="宋体"/>
                <w:kern w:val="0"/>
                <w:sz w:val="20"/>
                <w:szCs w:val="20"/>
              </w:rPr>
              <w:t>行次</w:t>
            </w:r>
          </w:p>
        </w:tc>
        <w:tc>
          <w:tcPr>
            <w:tcW w:w="703" w:type="dxa"/>
            <w:vMerge w:val="restart"/>
            <w:tcBorders>
              <w:top w:val="single" w:color="auto" w:sz="12" w:space="0"/>
            </w:tcBorders>
            <w:vAlign w:val="center"/>
          </w:tcPr>
          <w:p w14:paraId="45E6E598">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w:t>
            </w:r>
          </w:p>
        </w:tc>
        <w:tc>
          <w:tcPr>
            <w:tcW w:w="866" w:type="dxa"/>
            <w:vMerge w:val="restart"/>
            <w:tcBorders>
              <w:top w:val="single" w:color="auto" w:sz="12" w:space="0"/>
            </w:tcBorders>
            <w:vAlign w:val="center"/>
          </w:tcPr>
          <w:p w14:paraId="6803BB00">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被投资企业统一社会信用代码（纳税人识别号）</w:t>
            </w:r>
          </w:p>
        </w:tc>
        <w:tc>
          <w:tcPr>
            <w:tcW w:w="627" w:type="dxa"/>
            <w:vMerge w:val="restart"/>
            <w:tcBorders>
              <w:top w:val="single" w:color="auto" w:sz="12" w:space="0"/>
            </w:tcBorders>
            <w:vAlign w:val="center"/>
          </w:tcPr>
          <w:p w14:paraId="7A808C3F">
            <w:pPr>
              <w:widowControl/>
              <w:ind w:left="-105" w:leftChars="-50" w:right="-105" w:rightChars="-50"/>
              <w:jc w:val="center"/>
              <w:rPr>
                <w:rFonts w:ascii="宋体" w:cs="宋体"/>
                <w:kern w:val="0"/>
                <w:sz w:val="20"/>
                <w:szCs w:val="20"/>
              </w:rPr>
            </w:pPr>
            <w:r>
              <w:rPr>
                <w:rFonts w:hint="eastAsia" w:ascii="宋体" w:hAnsi="宋体" w:cs="宋体"/>
                <w:kern w:val="0"/>
                <w:sz w:val="20"/>
                <w:szCs w:val="20"/>
              </w:rPr>
              <w:t>投资性质</w:t>
            </w:r>
          </w:p>
        </w:tc>
        <w:tc>
          <w:tcPr>
            <w:tcW w:w="666" w:type="dxa"/>
            <w:vMerge w:val="restart"/>
            <w:tcBorders>
              <w:top w:val="single" w:color="auto" w:sz="12" w:space="0"/>
            </w:tcBorders>
            <w:vAlign w:val="center"/>
          </w:tcPr>
          <w:p w14:paraId="0CDCB1D6">
            <w:pPr>
              <w:widowControl/>
              <w:ind w:left="-105" w:leftChars="-50" w:right="-105" w:rightChars="-50"/>
              <w:jc w:val="center"/>
              <w:rPr>
                <w:rFonts w:ascii="宋体" w:cs="宋体"/>
                <w:kern w:val="0"/>
                <w:sz w:val="20"/>
                <w:szCs w:val="20"/>
              </w:rPr>
            </w:pPr>
            <w:r>
              <w:rPr>
                <w:rFonts w:hint="eastAsia" w:ascii="宋体" w:hAnsi="宋体" w:cs="宋体"/>
                <w:kern w:val="0"/>
                <w:sz w:val="20"/>
                <w:szCs w:val="20"/>
              </w:rPr>
              <w:t>投资成本</w:t>
            </w:r>
          </w:p>
        </w:tc>
        <w:tc>
          <w:tcPr>
            <w:tcW w:w="627" w:type="dxa"/>
            <w:vMerge w:val="restart"/>
            <w:tcBorders>
              <w:top w:val="single" w:color="auto" w:sz="12" w:space="0"/>
            </w:tcBorders>
            <w:vAlign w:val="center"/>
          </w:tcPr>
          <w:p w14:paraId="1B06F88B">
            <w:pPr>
              <w:widowControl/>
              <w:ind w:left="-105" w:leftChars="-50" w:right="-105" w:rightChars="-50"/>
              <w:jc w:val="center"/>
              <w:rPr>
                <w:rFonts w:ascii="宋体" w:cs="宋体"/>
                <w:kern w:val="0"/>
                <w:sz w:val="20"/>
                <w:szCs w:val="20"/>
              </w:rPr>
            </w:pPr>
            <w:r>
              <w:rPr>
                <w:rFonts w:hint="eastAsia" w:ascii="宋体" w:hAnsi="宋体" w:cs="宋体"/>
                <w:kern w:val="0"/>
                <w:sz w:val="20"/>
                <w:szCs w:val="20"/>
              </w:rPr>
              <w:t>投资比例</w:t>
            </w:r>
          </w:p>
        </w:tc>
        <w:tc>
          <w:tcPr>
            <w:tcW w:w="1905" w:type="dxa"/>
            <w:gridSpan w:val="3"/>
            <w:tcBorders>
              <w:top w:val="single" w:color="auto" w:sz="12" w:space="0"/>
            </w:tcBorders>
            <w:vAlign w:val="center"/>
          </w:tcPr>
          <w:p w14:paraId="1A0B874A">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被投资企业利润分配确认金额</w:t>
            </w:r>
          </w:p>
        </w:tc>
        <w:tc>
          <w:tcPr>
            <w:tcW w:w="2677" w:type="dxa"/>
            <w:gridSpan w:val="3"/>
            <w:tcBorders>
              <w:top w:val="single" w:color="auto" w:sz="12" w:space="0"/>
            </w:tcBorders>
            <w:vAlign w:val="center"/>
          </w:tcPr>
          <w:p w14:paraId="44ED33D6">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被投资企业清算确认金额</w:t>
            </w:r>
          </w:p>
        </w:tc>
        <w:tc>
          <w:tcPr>
            <w:tcW w:w="5532" w:type="dxa"/>
            <w:gridSpan w:val="6"/>
            <w:tcBorders>
              <w:top w:val="single" w:color="auto" w:sz="12" w:space="0"/>
            </w:tcBorders>
            <w:vAlign w:val="center"/>
          </w:tcPr>
          <w:p w14:paraId="20DC5FD7">
            <w:pPr>
              <w:widowControl/>
              <w:ind w:left="-105" w:leftChars="-50" w:right="-105" w:rightChars="-50"/>
              <w:jc w:val="center"/>
              <w:rPr>
                <w:rFonts w:ascii="宋体" w:cs="宋体"/>
                <w:kern w:val="0"/>
                <w:sz w:val="20"/>
                <w:szCs w:val="20"/>
              </w:rPr>
            </w:pPr>
            <w:r>
              <w:rPr>
                <w:rFonts w:hint="eastAsia" w:ascii="宋体" w:hAnsi="宋体" w:cs="宋体"/>
                <w:kern w:val="0"/>
                <w:sz w:val="20"/>
                <w:szCs w:val="20"/>
              </w:rPr>
              <w:t>撤回或减少投资确认金额</w:t>
            </w:r>
          </w:p>
        </w:tc>
        <w:tc>
          <w:tcPr>
            <w:tcW w:w="708" w:type="dxa"/>
            <w:vMerge w:val="restart"/>
            <w:tcBorders>
              <w:top w:val="single" w:color="auto" w:sz="12" w:space="0"/>
            </w:tcBorders>
            <w:vAlign w:val="center"/>
          </w:tcPr>
          <w:p w14:paraId="63C58309">
            <w:pPr>
              <w:widowControl/>
              <w:ind w:left="-105" w:leftChars="-50" w:right="-105" w:rightChars="-50"/>
              <w:jc w:val="center"/>
              <w:rPr>
                <w:rFonts w:ascii="宋体" w:cs="宋体"/>
                <w:kern w:val="0"/>
                <w:sz w:val="20"/>
                <w:szCs w:val="20"/>
              </w:rPr>
            </w:pPr>
            <w:r>
              <w:rPr>
                <w:rFonts w:hint="eastAsia" w:ascii="宋体" w:hAnsi="宋体" w:cs="宋体"/>
                <w:kern w:val="0"/>
                <w:sz w:val="20"/>
                <w:szCs w:val="20"/>
              </w:rPr>
              <w:t>合计</w:t>
            </w:r>
          </w:p>
        </w:tc>
      </w:tr>
      <w:tr w14:paraId="476E1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616" w:type="dxa"/>
            <w:vMerge w:val="continue"/>
            <w:vAlign w:val="center"/>
          </w:tcPr>
          <w:p w14:paraId="1C2E0A56">
            <w:pPr>
              <w:widowControl/>
              <w:jc w:val="left"/>
              <w:rPr>
                <w:rFonts w:ascii="宋体" w:cs="宋体"/>
                <w:kern w:val="0"/>
                <w:sz w:val="20"/>
                <w:szCs w:val="20"/>
              </w:rPr>
            </w:pPr>
          </w:p>
        </w:tc>
        <w:tc>
          <w:tcPr>
            <w:tcW w:w="703" w:type="dxa"/>
            <w:vMerge w:val="continue"/>
            <w:vAlign w:val="center"/>
          </w:tcPr>
          <w:p w14:paraId="601AFAF0">
            <w:pPr>
              <w:widowControl/>
              <w:ind w:left="-105" w:leftChars="-50" w:right="-105" w:rightChars="-50"/>
              <w:jc w:val="left"/>
              <w:rPr>
                <w:rFonts w:ascii="宋体" w:cs="宋体"/>
                <w:kern w:val="0"/>
                <w:sz w:val="20"/>
                <w:szCs w:val="20"/>
              </w:rPr>
            </w:pPr>
          </w:p>
        </w:tc>
        <w:tc>
          <w:tcPr>
            <w:tcW w:w="866" w:type="dxa"/>
            <w:vMerge w:val="continue"/>
            <w:vAlign w:val="center"/>
          </w:tcPr>
          <w:p w14:paraId="084D5C96">
            <w:pPr>
              <w:widowControl/>
              <w:ind w:left="-105" w:leftChars="-50" w:right="-105" w:rightChars="-50"/>
              <w:jc w:val="left"/>
              <w:rPr>
                <w:rFonts w:ascii="宋体" w:cs="宋体"/>
                <w:kern w:val="0"/>
                <w:sz w:val="20"/>
                <w:szCs w:val="20"/>
              </w:rPr>
            </w:pPr>
          </w:p>
        </w:tc>
        <w:tc>
          <w:tcPr>
            <w:tcW w:w="627" w:type="dxa"/>
            <w:vMerge w:val="continue"/>
            <w:vAlign w:val="center"/>
          </w:tcPr>
          <w:p w14:paraId="2F43C937">
            <w:pPr>
              <w:widowControl/>
              <w:ind w:left="-105" w:leftChars="-50" w:right="-105" w:rightChars="-50"/>
              <w:jc w:val="left"/>
              <w:rPr>
                <w:rFonts w:ascii="宋体" w:cs="宋体"/>
                <w:kern w:val="0"/>
                <w:sz w:val="20"/>
                <w:szCs w:val="20"/>
              </w:rPr>
            </w:pPr>
          </w:p>
        </w:tc>
        <w:tc>
          <w:tcPr>
            <w:tcW w:w="666" w:type="dxa"/>
            <w:vMerge w:val="continue"/>
            <w:vAlign w:val="center"/>
          </w:tcPr>
          <w:p w14:paraId="40AB41E0">
            <w:pPr>
              <w:widowControl/>
              <w:ind w:left="-105" w:leftChars="-50" w:right="-105" w:rightChars="-50"/>
              <w:jc w:val="left"/>
              <w:rPr>
                <w:rFonts w:ascii="宋体" w:cs="宋体"/>
                <w:kern w:val="0"/>
                <w:sz w:val="20"/>
                <w:szCs w:val="20"/>
              </w:rPr>
            </w:pPr>
          </w:p>
        </w:tc>
        <w:tc>
          <w:tcPr>
            <w:tcW w:w="627" w:type="dxa"/>
            <w:vMerge w:val="continue"/>
            <w:vAlign w:val="center"/>
          </w:tcPr>
          <w:p w14:paraId="4DEF6ACB">
            <w:pPr>
              <w:widowControl/>
              <w:ind w:left="-105" w:leftChars="-50" w:right="-105" w:rightChars="-50"/>
              <w:jc w:val="left"/>
              <w:rPr>
                <w:rFonts w:ascii="宋体" w:cs="宋体"/>
                <w:kern w:val="0"/>
                <w:sz w:val="20"/>
                <w:szCs w:val="20"/>
              </w:rPr>
            </w:pPr>
          </w:p>
        </w:tc>
        <w:tc>
          <w:tcPr>
            <w:tcW w:w="835" w:type="dxa"/>
            <w:vAlign w:val="center"/>
          </w:tcPr>
          <w:p w14:paraId="0C136A6F">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被投资企业做出利润分配或转股决定时间</w:t>
            </w:r>
          </w:p>
        </w:tc>
        <w:tc>
          <w:tcPr>
            <w:tcW w:w="1059" w:type="dxa"/>
            <w:vAlign w:val="center"/>
          </w:tcPr>
          <w:p w14:paraId="6A3C99ED">
            <w:pPr>
              <w:widowControl/>
              <w:ind w:left="-105" w:leftChars="-50" w:right="-105" w:rightChars="-50"/>
              <w:jc w:val="center"/>
              <w:rPr>
                <w:rFonts w:ascii="宋体" w:cs="宋体"/>
                <w:kern w:val="0"/>
                <w:sz w:val="20"/>
                <w:szCs w:val="20"/>
              </w:rPr>
            </w:pPr>
            <w:r>
              <w:rPr>
                <w:rFonts w:hint="eastAsia" w:ascii="宋体" w:hAnsi="宋体" w:cs="宋体"/>
                <w:kern w:val="0"/>
                <w:sz w:val="20"/>
                <w:szCs w:val="20"/>
              </w:rPr>
              <w:t>依决定归属于本公司的股息、红利等权益性投资收益金额</w:t>
            </w:r>
          </w:p>
        </w:tc>
        <w:tc>
          <w:tcPr>
            <w:tcW w:w="782" w:type="dxa"/>
            <w:gridSpan w:val="2"/>
            <w:vAlign w:val="center"/>
          </w:tcPr>
          <w:p w14:paraId="4F5A4495">
            <w:pPr>
              <w:widowControl/>
              <w:ind w:left="-105" w:leftChars="-50" w:right="-105" w:rightChars="-50"/>
              <w:jc w:val="center"/>
              <w:rPr>
                <w:rFonts w:ascii="宋体" w:cs="宋体"/>
                <w:kern w:val="0"/>
                <w:sz w:val="20"/>
                <w:szCs w:val="20"/>
              </w:rPr>
            </w:pPr>
            <w:r>
              <w:rPr>
                <w:rFonts w:hint="eastAsia" w:ascii="宋体" w:hAnsi="宋体" w:cs="宋体"/>
                <w:kern w:val="0"/>
                <w:sz w:val="20"/>
                <w:szCs w:val="20"/>
              </w:rPr>
              <w:t>分得的被投资企业清算剩余资产</w:t>
            </w:r>
          </w:p>
        </w:tc>
        <w:tc>
          <w:tcPr>
            <w:tcW w:w="1043" w:type="dxa"/>
            <w:vAlign w:val="center"/>
          </w:tcPr>
          <w:p w14:paraId="27483D77">
            <w:pPr>
              <w:widowControl/>
              <w:ind w:left="-105" w:leftChars="-50" w:right="-105" w:rightChars="-50"/>
              <w:jc w:val="center"/>
              <w:rPr>
                <w:rFonts w:ascii="宋体" w:cs="宋体"/>
                <w:kern w:val="0"/>
                <w:sz w:val="20"/>
                <w:szCs w:val="20"/>
              </w:rPr>
            </w:pPr>
            <w:r>
              <w:rPr>
                <w:rFonts w:hint="eastAsia" w:ascii="宋体" w:hAnsi="宋体" w:cs="宋体"/>
                <w:kern w:val="0"/>
                <w:sz w:val="20"/>
                <w:szCs w:val="20"/>
              </w:rPr>
              <w:t>被清算企业累计未分配利润和累计盈余公积应享有部分</w:t>
            </w:r>
          </w:p>
        </w:tc>
        <w:tc>
          <w:tcPr>
            <w:tcW w:w="863" w:type="dxa"/>
            <w:vAlign w:val="center"/>
          </w:tcPr>
          <w:p w14:paraId="0C666629">
            <w:pPr>
              <w:widowControl/>
              <w:ind w:left="-105" w:leftChars="-50" w:right="-105" w:rightChars="-50"/>
              <w:jc w:val="center"/>
              <w:rPr>
                <w:rFonts w:ascii="宋体" w:cs="宋体"/>
                <w:kern w:val="0"/>
                <w:sz w:val="20"/>
                <w:szCs w:val="20"/>
              </w:rPr>
            </w:pPr>
            <w:r>
              <w:rPr>
                <w:rFonts w:hint="eastAsia" w:ascii="宋体" w:hAnsi="宋体" w:cs="宋体"/>
                <w:kern w:val="0"/>
                <w:sz w:val="20"/>
                <w:szCs w:val="20"/>
              </w:rPr>
              <w:t>应确认的股息所得</w:t>
            </w:r>
          </w:p>
        </w:tc>
        <w:tc>
          <w:tcPr>
            <w:tcW w:w="860" w:type="dxa"/>
            <w:vAlign w:val="center"/>
          </w:tcPr>
          <w:p w14:paraId="45259923">
            <w:pPr>
              <w:widowControl/>
              <w:ind w:left="-105" w:leftChars="-50" w:right="-105" w:rightChars="-50"/>
              <w:jc w:val="center"/>
              <w:rPr>
                <w:rFonts w:ascii="宋体" w:cs="宋体"/>
                <w:kern w:val="0"/>
                <w:sz w:val="20"/>
                <w:szCs w:val="20"/>
              </w:rPr>
            </w:pPr>
            <w:r>
              <w:rPr>
                <w:rFonts w:hint="eastAsia" w:ascii="宋体" w:hAnsi="宋体" w:cs="宋体"/>
                <w:kern w:val="0"/>
                <w:sz w:val="20"/>
                <w:szCs w:val="20"/>
              </w:rPr>
              <w:t>从被投资企业撤回或减少投资取得的资产</w:t>
            </w:r>
          </w:p>
        </w:tc>
        <w:tc>
          <w:tcPr>
            <w:tcW w:w="666" w:type="dxa"/>
            <w:vAlign w:val="center"/>
          </w:tcPr>
          <w:p w14:paraId="1ACB73B5">
            <w:pPr>
              <w:widowControl/>
              <w:ind w:left="-105" w:leftChars="-50" w:right="-105" w:rightChars="-50"/>
              <w:jc w:val="center"/>
              <w:rPr>
                <w:rFonts w:ascii="宋体" w:cs="宋体"/>
                <w:kern w:val="0"/>
                <w:sz w:val="20"/>
                <w:szCs w:val="20"/>
              </w:rPr>
            </w:pPr>
            <w:r>
              <w:rPr>
                <w:rFonts w:hint="eastAsia" w:ascii="宋体" w:hAnsi="宋体" w:cs="宋体"/>
                <w:kern w:val="0"/>
                <w:sz w:val="20"/>
                <w:szCs w:val="20"/>
              </w:rPr>
              <w:t>减少投资比例</w:t>
            </w:r>
          </w:p>
        </w:tc>
        <w:tc>
          <w:tcPr>
            <w:tcW w:w="866" w:type="dxa"/>
            <w:vAlign w:val="center"/>
          </w:tcPr>
          <w:p w14:paraId="12AF91F7">
            <w:pPr>
              <w:widowControl/>
              <w:ind w:left="-105" w:leftChars="-50" w:right="-105" w:rightChars="-50"/>
              <w:jc w:val="center"/>
              <w:rPr>
                <w:rFonts w:ascii="宋体" w:cs="宋体"/>
                <w:kern w:val="0"/>
                <w:sz w:val="20"/>
                <w:szCs w:val="20"/>
              </w:rPr>
            </w:pPr>
            <w:r>
              <w:rPr>
                <w:rFonts w:hint="eastAsia" w:ascii="宋体" w:hAnsi="宋体" w:cs="宋体"/>
                <w:kern w:val="0"/>
                <w:sz w:val="20"/>
                <w:szCs w:val="20"/>
              </w:rPr>
              <w:t>收回初始投资成本</w:t>
            </w:r>
          </w:p>
        </w:tc>
        <w:tc>
          <w:tcPr>
            <w:tcW w:w="1116" w:type="dxa"/>
            <w:vAlign w:val="center"/>
          </w:tcPr>
          <w:p w14:paraId="66001171">
            <w:pPr>
              <w:widowControl/>
              <w:ind w:left="-105" w:leftChars="-50" w:right="-105" w:rightChars="-50"/>
              <w:jc w:val="center"/>
              <w:rPr>
                <w:rFonts w:ascii="宋体" w:cs="宋体"/>
                <w:kern w:val="0"/>
                <w:sz w:val="20"/>
                <w:szCs w:val="20"/>
              </w:rPr>
            </w:pPr>
            <w:r>
              <w:rPr>
                <w:rFonts w:hint="eastAsia" w:ascii="宋体" w:hAnsi="宋体" w:cs="宋体"/>
                <w:kern w:val="0"/>
                <w:sz w:val="20"/>
                <w:szCs w:val="20"/>
              </w:rPr>
              <w:t>取得资产中超过收回初始投资成本部分</w:t>
            </w:r>
          </w:p>
        </w:tc>
        <w:tc>
          <w:tcPr>
            <w:tcW w:w="1283" w:type="dxa"/>
            <w:vAlign w:val="center"/>
          </w:tcPr>
          <w:p w14:paraId="1FEEEA3C">
            <w:pPr>
              <w:widowControl/>
              <w:ind w:left="-105" w:leftChars="-50" w:right="-105" w:rightChars="-50"/>
              <w:jc w:val="center"/>
              <w:rPr>
                <w:rFonts w:ascii="宋体" w:cs="宋体"/>
                <w:kern w:val="0"/>
                <w:sz w:val="20"/>
                <w:szCs w:val="20"/>
              </w:rPr>
            </w:pPr>
            <w:r>
              <w:rPr>
                <w:rFonts w:hint="eastAsia" w:ascii="宋体" w:hAnsi="宋体" w:cs="宋体"/>
                <w:kern w:val="0"/>
                <w:sz w:val="20"/>
                <w:szCs w:val="20"/>
              </w:rPr>
              <w:t>撤回或减少投资应享有被投资企业累计未分配利润和累计盈余公积</w:t>
            </w:r>
          </w:p>
        </w:tc>
        <w:tc>
          <w:tcPr>
            <w:tcW w:w="741" w:type="dxa"/>
            <w:vAlign w:val="center"/>
          </w:tcPr>
          <w:p w14:paraId="29E76DCD">
            <w:pPr>
              <w:widowControl/>
              <w:ind w:left="-105" w:leftChars="-50" w:right="-105" w:rightChars="-50"/>
              <w:jc w:val="center"/>
              <w:rPr>
                <w:rFonts w:ascii="宋体" w:cs="宋体"/>
                <w:kern w:val="0"/>
                <w:sz w:val="20"/>
                <w:szCs w:val="20"/>
              </w:rPr>
            </w:pPr>
            <w:r>
              <w:rPr>
                <w:rFonts w:hint="eastAsia" w:ascii="宋体" w:hAnsi="宋体" w:cs="宋体"/>
                <w:kern w:val="0"/>
                <w:sz w:val="20"/>
                <w:szCs w:val="20"/>
              </w:rPr>
              <w:t>应确认的股息所得</w:t>
            </w:r>
          </w:p>
        </w:tc>
        <w:tc>
          <w:tcPr>
            <w:tcW w:w="708" w:type="dxa"/>
            <w:vMerge w:val="continue"/>
            <w:vAlign w:val="center"/>
          </w:tcPr>
          <w:p w14:paraId="410FF795">
            <w:pPr>
              <w:widowControl/>
              <w:ind w:left="-105" w:leftChars="-50" w:right="-105" w:rightChars="-50"/>
              <w:jc w:val="left"/>
              <w:rPr>
                <w:rFonts w:ascii="宋体" w:cs="宋体"/>
                <w:kern w:val="0"/>
                <w:sz w:val="20"/>
                <w:szCs w:val="20"/>
              </w:rPr>
            </w:pPr>
          </w:p>
        </w:tc>
      </w:tr>
      <w:tr w14:paraId="29B8B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16" w:type="dxa"/>
            <w:vMerge w:val="continue"/>
            <w:vAlign w:val="center"/>
          </w:tcPr>
          <w:p w14:paraId="2A76E2B1">
            <w:pPr>
              <w:widowControl/>
              <w:jc w:val="left"/>
              <w:rPr>
                <w:rFonts w:ascii="宋体" w:cs="宋体"/>
                <w:kern w:val="0"/>
                <w:sz w:val="20"/>
                <w:szCs w:val="20"/>
              </w:rPr>
            </w:pPr>
          </w:p>
        </w:tc>
        <w:tc>
          <w:tcPr>
            <w:tcW w:w="703" w:type="dxa"/>
            <w:vAlign w:val="center"/>
          </w:tcPr>
          <w:p w14:paraId="61F669C0">
            <w:pPr>
              <w:widowControl/>
              <w:ind w:left="-105" w:leftChars="-50" w:right="-105" w:rightChars="-50"/>
              <w:jc w:val="center"/>
              <w:rPr>
                <w:rFonts w:ascii="宋体" w:cs="宋体"/>
                <w:kern w:val="0"/>
                <w:sz w:val="20"/>
                <w:szCs w:val="20"/>
              </w:rPr>
            </w:pPr>
            <w:r>
              <w:rPr>
                <w:rFonts w:ascii="宋体" w:hAnsi="宋体" w:cs="宋体"/>
                <w:kern w:val="0"/>
                <w:sz w:val="20"/>
                <w:szCs w:val="20"/>
              </w:rPr>
              <w:t>1</w:t>
            </w:r>
          </w:p>
        </w:tc>
        <w:tc>
          <w:tcPr>
            <w:tcW w:w="866" w:type="dxa"/>
            <w:vAlign w:val="center"/>
          </w:tcPr>
          <w:p w14:paraId="40DFA50B">
            <w:pPr>
              <w:widowControl/>
              <w:ind w:left="-105" w:leftChars="-50" w:right="-105" w:rightChars="-50"/>
              <w:jc w:val="center"/>
              <w:rPr>
                <w:rFonts w:ascii="宋体" w:cs="宋体"/>
                <w:kern w:val="0"/>
                <w:sz w:val="20"/>
                <w:szCs w:val="20"/>
              </w:rPr>
            </w:pPr>
            <w:r>
              <w:rPr>
                <w:rFonts w:ascii="宋体" w:hAnsi="宋体" w:cs="宋体"/>
                <w:kern w:val="0"/>
                <w:sz w:val="20"/>
                <w:szCs w:val="20"/>
              </w:rPr>
              <w:t>2</w:t>
            </w:r>
          </w:p>
        </w:tc>
        <w:tc>
          <w:tcPr>
            <w:tcW w:w="627" w:type="dxa"/>
            <w:vAlign w:val="center"/>
          </w:tcPr>
          <w:p w14:paraId="483847D3">
            <w:pPr>
              <w:widowControl/>
              <w:ind w:left="-105" w:leftChars="-50" w:right="-105" w:rightChars="-50"/>
              <w:jc w:val="center"/>
              <w:rPr>
                <w:rFonts w:ascii="宋体" w:cs="宋体"/>
                <w:kern w:val="0"/>
                <w:sz w:val="20"/>
                <w:szCs w:val="20"/>
              </w:rPr>
            </w:pPr>
            <w:r>
              <w:rPr>
                <w:rFonts w:ascii="宋体" w:hAnsi="宋体" w:cs="宋体"/>
                <w:kern w:val="0"/>
                <w:sz w:val="20"/>
                <w:szCs w:val="20"/>
              </w:rPr>
              <w:t>3</w:t>
            </w:r>
          </w:p>
        </w:tc>
        <w:tc>
          <w:tcPr>
            <w:tcW w:w="666" w:type="dxa"/>
            <w:vAlign w:val="center"/>
          </w:tcPr>
          <w:p w14:paraId="5022BA57">
            <w:pPr>
              <w:widowControl/>
              <w:ind w:left="-105" w:leftChars="-50" w:right="-105" w:rightChars="-50"/>
              <w:jc w:val="center"/>
              <w:rPr>
                <w:rFonts w:ascii="宋体" w:cs="宋体"/>
                <w:kern w:val="0"/>
                <w:sz w:val="20"/>
                <w:szCs w:val="20"/>
              </w:rPr>
            </w:pPr>
            <w:r>
              <w:rPr>
                <w:rFonts w:ascii="宋体" w:hAnsi="宋体" w:cs="宋体"/>
                <w:kern w:val="0"/>
                <w:sz w:val="20"/>
                <w:szCs w:val="20"/>
              </w:rPr>
              <w:t>4</w:t>
            </w:r>
          </w:p>
        </w:tc>
        <w:tc>
          <w:tcPr>
            <w:tcW w:w="627" w:type="dxa"/>
            <w:vAlign w:val="center"/>
          </w:tcPr>
          <w:p w14:paraId="474AAACF">
            <w:pPr>
              <w:widowControl/>
              <w:ind w:left="-105" w:leftChars="-50" w:right="-105" w:rightChars="-50"/>
              <w:jc w:val="center"/>
              <w:rPr>
                <w:rFonts w:ascii="宋体" w:cs="宋体"/>
                <w:kern w:val="0"/>
                <w:sz w:val="20"/>
                <w:szCs w:val="20"/>
              </w:rPr>
            </w:pPr>
            <w:r>
              <w:rPr>
                <w:rFonts w:ascii="宋体" w:hAnsi="宋体" w:cs="宋体"/>
                <w:kern w:val="0"/>
                <w:sz w:val="20"/>
                <w:szCs w:val="20"/>
              </w:rPr>
              <w:t>5</w:t>
            </w:r>
          </w:p>
        </w:tc>
        <w:tc>
          <w:tcPr>
            <w:tcW w:w="835" w:type="dxa"/>
            <w:vAlign w:val="center"/>
          </w:tcPr>
          <w:p w14:paraId="52C67FBF">
            <w:pPr>
              <w:widowControl/>
              <w:ind w:left="-105" w:leftChars="-50" w:right="-105" w:rightChars="-50"/>
              <w:jc w:val="center"/>
              <w:rPr>
                <w:rFonts w:ascii="宋体" w:cs="宋体"/>
                <w:kern w:val="0"/>
                <w:sz w:val="20"/>
                <w:szCs w:val="20"/>
              </w:rPr>
            </w:pPr>
            <w:r>
              <w:rPr>
                <w:rFonts w:ascii="宋体" w:hAnsi="宋体" w:cs="宋体"/>
                <w:kern w:val="0"/>
                <w:sz w:val="20"/>
                <w:szCs w:val="20"/>
              </w:rPr>
              <w:t>6</w:t>
            </w:r>
          </w:p>
        </w:tc>
        <w:tc>
          <w:tcPr>
            <w:tcW w:w="1059" w:type="dxa"/>
            <w:vAlign w:val="center"/>
          </w:tcPr>
          <w:p w14:paraId="10FB3480">
            <w:pPr>
              <w:widowControl/>
              <w:ind w:left="-105" w:leftChars="-50" w:right="-105" w:rightChars="-50"/>
              <w:jc w:val="center"/>
              <w:rPr>
                <w:rFonts w:ascii="宋体" w:cs="宋体"/>
                <w:kern w:val="0"/>
                <w:sz w:val="20"/>
                <w:szCs w:val="20"/>
              </w:rPr>
            </w:pPr>
            <w:r>
              <w:rPr>
                <w:rFonts w:ascii="宋体" w:hAnsi="宋体" w:cs="宋体"/>
                <w:kern w:val="0"/>
                <w:sz w:val="20"/>
                <w:szCs w:val="20"/>
              </w:rPr>
              <w:t>7</w:t>
            </w:r>
          </w:p>
        </w:tc>
        <w:tc>
          <w:tcPr>
            <w:tcW w:w="782" w:type="dxa"/>
            <w:gridSpan w:val="2"/>
            <w:vAlign w:val="center"/>
          </w:tcPr>
          <w:p w14:paraId="55A7F5D3">
            <w:pPr>
              <w:widowControl/>
              <w:ind w:left="-105" w:leftChars="-50" w:right="-105" w:rightChars="-50"/>
              <w:jc w:val="center"/>
              <w:rPr>
                <w:rFonts w:ascii="宋体" w:cs="宋体"/>
                <w:kern w:val="0"/>
                <w:sz w:val="20"/>
                <w:szCs w:val="20"/>
              </w:rPr>
            </w:pPr>
            <w:r>
              <w:rPr>
                <w:rFonts w:ascii="宋体" w:hAnsi="宋体" w:cs="宋体"/>
                <w:kern w:val="0"/>
                <w:sz w:val="20"/>
                <w:szCs w:val="20"/>
              </w:rPr>
              <w:t>8</w:t>
            </w:r>
          </w:p>
        </w:tc>
        <w:tc>
          <w:tcPr>
            <w:tcW w:w="1043" w:type="dxa"/>
            <w:vAlign w:val="center"/>
          </w:tcPr>
          <w:p w14:paraId="281BD149">
            <w:pPr>
              <w:widowControl/>
              <w:ind w:left="-105" w:leftChars="-50" w:right="-105" w:rightChars="-50"/>
              <w:jc w:val="center"/>
              <w:rPr>
                <w:rFonts w:ascii="宋体" w:cs="宋体"/>
                <w:kern w:val="0"/>
                <w:sz w:val="20"/>
                <w:szCs w:val="20"/>
              </w:rPr>
            </w:pPr>
            <w:r>
              <w:rPr>
                <w:rFonts w:ascii="宋体" w:hAnsi="宋体" w:cs="宋体"/>
                <w:kern w:val="0"/>
                <w:sz w:val="20"/>
                <w:szCs w:val="20"/>
              </w:rPr>
              <w:t>9</w:t>
            </w:r>
          </w:p>
        </w:tc>
        <w:tc>
          <w:tcPr>
            <w:tcW w:w="863" w:type="dxa"/>
            <w:vAlign w:val="center"/>
          </w:tcPr>
          <w:p w14:paraId="2A9DEF79">
            <w:pPr>
              <w:widowControl/>
              <w:ind w:left="-105" w:leftChars="-50" w:right="-105" w:rightChars="-50"/>
              <w:jc w:val="center"/>
              <w:rPr>
                <w:rFonts w:ascii="宋体" w:cs="宋体"/>
                <w:kern w:val="0"/>
                <w:sz w:val="20"/>
                <w:szCs w:val="20"/>
              </w:rPr>
            </w:pPr>
            <w:r>
              <w:rPr>
                <w:rFonts w:ascii="宋体" w:hAnsi="宋体" w:cs="宋体"/>
                <w:kern w:val="0"/>
                <w:sz w:val="20"/>
                <w:szCs w:val="20"/>
              </w:rPr>
              <w:t>10(8</w:t>
            </w:r>
            <w:r>
              <w:rPr>
                <w:rFonts w:hint="eastAsia" w:ascii="宋体" w:hAnsi="宋体" w:cs="宋体"/>
                <w:kern w:val="0"/>
                <w:sz w:val="20"/>
                <w:szCs w:val="20"/>
              </w:rPr>
              <w:t>与</w:t>
            </w:r>
            <w:r>
              <w:rPr>
                <w:rFonts w:ascii="宋体" w:hAnsi="宋体" w:cs="宋体"/>
                <w:kern w:val="0"/>
                <w:sz w:val="20"/>
                <w:szCs w:val="20"/>
              </w:rPr>
              <w:t>9</w:t>
            </w:r>
            <w:r>
              <w:rPr>
                <w:rFonts w:hint="eastAsia" w:ascii="宋体" w:hAnsi="宋体" w:cs="宋体"/>
                <w:kern w:val="0"/>
                <w:sz w:val="20"/>
                <w:szCs w:val="20"/>
              </w:rPr>
              <w:t>孰小</w:t>
            </w:r>
            <w:r>
              <w:rPr>
                <w:rFonts w:ascii="宋体" w:hAnsi="宋体" w:cs="宋体"/>
                <w:kern w:val="0"/>
                <w:sz w:val="20"/>
                <w:szCs w:val="20"/>
              </w:rPr>
              <w:t>)</w:t>
            </w:r>
          </w:p>
        </w:tc>
        <w:tc>
          <w:tcPr>
            <w:tcW w:w="860" w:type="dxa"/>
            <w:vAlign w:val="center"/>
          </w:tcPr>
          <w:p w14:paraId="10DB0BC7">
            <w:pPr>
              <w:widowControl/>
              <w:ind w:left="-105" w:leftChars="-50" w:right="-105" w:rightChars="-50"/>
              <w:jc w:val="center"/>
              <w:rPr>
                <w:rFonts w:ascii="宋体" w:cs="宋体"/>
                <w:kern w:val="0"/>
                <w:sz w:val="20"/>
                <w:szCs w:val="20"/>
              </w:rPr>
            </w:pPr>
            <w:r>
              <w:rPr>
                <w:rFonts w:ascii="宋体" w:hAnsi="宋体" w:cs="宋体"/>
                <w:kern w:val="0"/>
                <w:sz w:val="20"/>
                <w:szCs w:val="20"/>
              </w:rPr>
              <w:t>11</w:t>
            </w:r>
          </w:p>
        </w:tc>
        <w:tc>
          <w:tcPr>
            <w:tcW w:w="666" w:type="dxa"/>
            <w:vAlign w:val="center"/>
          </w:tcPr>
          <w:p w14:paraId="27FEC459">
            <w:pPr>
              <w:widowControl/>
              <w:ind w:left="-105" w:leftChars="-50" w:right="-105" w:rightChars="-50"/>
              <w:jc w:val="center"/>
              <w:rPr>
                <w:rFonts w:ascii="宋体" w:cs="宋体"/>
                <w:kern w:val="0"/>
                <w:sz w:val="20"/>
                <w:szCs w:val="20"/>
              </w:rPr>
            </w:pPr>
            <w:r>
              <w:rPr>
                <w:rFonts w:ascii="宋体" w:hAnsi="宋体" w:cs="宋体"/>
                <w:kern w:val="0"/>
                <w:sz w:val="20"/>
                <w:szCs w:val="20"/>
              </w:rPr>
              <w:t>12</w:t>
            </w:r>
          </w:p>
        </w:tc>
        <w:tc>
          <w:tcPr>
            <w:tcW w:w="866" w:type="dxa"/>
            <w:vAlign w:val="center"/>
          </w:tcPr>
          <w:p w14:paraId="274CC783">
            <w:pPr>
              <w:widowControl/>
              <w:ind w:left="-105" w:leftChars="-50" w:right="-105" w:rightChars="-50"/>
              <w:jc w:val="center"/>
              <w:rPr>
                <w:rFonts w:ascii="宋体" w:cs="宋体"/>
                <w:kern w:val="0"/>
                <w:sz w:val="20"/>
                <w:szCs w:val="20"/>
              </w:rPr>
            </w:pPr>
            <w:r>
              <w:rPr>
                <w:rFonts w:ascii="宋体" w:hAnsi="宋体" w:cs="宋体"/>
                <w:kern w:val="0"/>
                <w:sz w:val="20"/>
                <w:szCs w:val="20"/>
              </w:rPr>
              <w:t>13(4</w:t>
            </w:r>
            <w:r>
              <w:rPr>
                <w:rFonts w:hint="eastAsia" w:ascii="宋体" w:hAnsi="宋体" w:cs="宋体"/>
                <w:kern w:val="0"/>
                <w:sz w:val="20"/>
                <w:szCs w:val="20"/>
              </w:rPr>
              <w:t>×</w:t>
            </w:r>
            <w:r>
              <w:rPr>
                <w:rFonts w:ascii="宋体" w:hAnsi="宋体" w:cs="宋体"/>
                <w:kern w:val="0"/>
                <w:sz w:val="20"/>
                <w:szCs w:val="20"/>
              </w:rPr>
              <w:t>12)</w:t>
            </w:r>
          </w:p>
        </w:tc>
        <w:tc>
          <w:tcPr>
            <w:tcW w:w="1116" w:type="dxa"/>
            <w:vAlign w:val="center"/>
          </w:tcPr>
          <w:p w14:paraId="06EC888E">
            <w:pPr>
              <w:widowControl/>
              <w:ind w:left="-105" w:leftChars="-50" w:right="-105" w:rightChars="-50"/>
              <w:jc w:val="center"/>
              <w:rPr>
                <w:rFonts w:ascii="宋体" w:cs="宋体"/>
                <w:kern w:val="0"/>
                <w:sz w:val="20"/>
                <w:szCs w:val="20"/>
              </w:rPr>
            </w:pPr>
            <w:r>
              <w:rPr>
                <w:rFonts w:ascii="宋体" w:hAnsi="宋体" w:cs="宋体"/>
                <w:kern w:val="0"/>
                <w:sz w:val="20"/>
                <w:szCs w:val="20"/>
              </w:rPr>
              <w:t>14(11-13)</w:t>
            </w:r>
          </w:p>
        </w:tc>
        <w:tc>
          <w:tcPr>
            <w:tcW w:w="1283" w:type="dxa"/>
            <w:vAlign w:val="center"/>
          </w:tcPr>
          <w:p w14:paraId="0CA00480">
            <w:pPr>
              <w:widowControl/>
              <w:ind w:left="-105" w:leftChars="-50" w:right="-105" w:rightChars="-50"/>
              <w:jc w:val="center"/>
              <w:rPr>
                <w:rFonts w:ascii="宋体" w:cs="宋体"/>
                <w:kern w:val="0"/>
                <w:sz w:val="20"/>
                <w:szCs w:val="20"/>
              </w:rPr>
            </w:pPr>
            <w:r>
              <w:rPr>
                <w:rFonts w:ascii="宋体" w:hAnsi="宋体" w:cs="宋体"/>
                <w:kern w:val="0"/>
                <w:sz w:val="20"/>
                <w:szCs w:val="20"/>
              </w:rPr>
              <w:t>15</w:t>
            </w:r>
          </w:p>
        </w:tc>
        <w:tc>
          <w:tcPr>
            <w:tcW w:w="741" w:type="dxa"/>
            <w:vAlign w:val="center"/>
          </w:tcPr>
          <w:p w14:paraId="48F647A5">
            <w:pPr>
              <w:widowControl/>
              <w:ind w:left="-105" w:leftChars="-50" w:right="-105" w:rightChars="-50"/>
              <w:jc w:val="center"/>
              <w:rPr>
                <w:rFonts w:ascii="宋体" w:cs="宋体"/>
                <w:kern w:val="0"/>
                <w:sz w:val="20"/>
                <w:szCs w:val="20"/>
              </w:rPr>
            </w:pPr>
            <w:r>
              <w:rPr>
                <w:rFonts w:ascii="宋体" w:hAnsi="宋体" w:cs="宋体"/>
                <w:kern w:val="0"/>
                <w:sz w:val="20"/>
                <w:szCs w:val="20"/>
              </w:rPr>
              <w:t>16(14</w:t>
            </w:r>
            <w:r>
              <w:rPr>
                <w:rFonts w:hint="eastAsia" w:ascii="宋体" w:hAnsi="宋体" w:cs="宋体"/>
                <w:kern w:val="0"/>
                <w:sz w:val="20"/>
                <w:szCs w:val="20"/>
              </w:rPr>
              <w:t>与</w:t>
            </w:r>
            <w:r>
              <w:rPr>
                <w:rFonts w:ascii="宋体" w:hAnsi="宋体" w:cs="宋体"/>
                <w:kern w:val="0"/>
                <w:sz w:val="20"/>
                <w:szCs w:val="20"/>
              </w:rPr>
              <w:t>15</w:t>
            </w:r>
            <w:r>
              <w:rPr>
                <w:rFonts w:hint="eastAsia" w:ascii="宋体" w:hAnsi="宋体" w:cs="宋体"/>
                <w:kern w:val="0"/>
                <w:sz w:val="20"/>
                <w:szCs w:val="20"/>
              </w:rPr>
              <w:t>孰小</w:t>
            </w:r>
            <w:r>
              <w:rPr>
                <w:rFonts w:ascii="宋体" w:hAnsi="宋体" w:cs="宋体"/>
                <w:kern w:val="0"/>
                <w:sz w:val="20"/>
                <w:szCs w:val="20"/>
              </w:rPr>
              <w:t>)</w:t>
            </w:r>
          </w:p>
        </w:tc>
        <w:tc>
          <w:tcPr>
            <w:tcW w:w="708" w:type="dxa"/>
            <w:vAlign w:val="center"/>
          </w:tcPr>
          <w:p w14:paraId="20400D16">
            <w:pPr>
              <w:widowControl/>
              <w:ind w:left="-105" w:leftChars="-50" w:right="-105" w:rightChars="-50"/>
              <w:jc w:val="center"/>
              <w:rPr>
                <w:rFonts w:ascii="宋体" w:cs="宋体"/>
                <w:kern w:val="0"/>
                <w:sz w:val="20"/>
                <w:szCs w:val="20"/>
              </w:rPr>
            </w:pPr>
            <w:r>
              <w:rPr>
                <w:rFonts w:ascii="宋体" w:hAnsi="宋体" w:cs="宋体"/>
                <w:kern w:val="0"/>
                <w:sz w:val="20"/>
                <w:szCs w:val="20"/>
              </w:rPr>
              <w:t>17(7+</w:t>
            </w:r>
            <w:r>
              <w:rPr>
                <w:rFonts w:ascii="宋体" w:cs="宋体"/>
                <w:kern w:val="0"/>
                <w:sz w:val="20"/>
                <w:szCs w:val="20"/>
              </w:rPr>
              <w:br w:type="textWrapping"/>
            </w:r>
            <w:r>
              <w:rPr>
                <w:rFonts w:ascii="宋体" w:hAnsi="宋体" w:cs="宋体"/>
                <w:kern w:val="0"/>
                <w:sz w:val="20"/>
                <w:szCs w:val="20"/>
              </w:rPr>
              <w:t>10+16)</w:t>
            </w:r>
          </w:p>
        </w:tc>
      </w:tr>
      <w:tr w14:paraId="2D1B5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vAlign w:val="center"/>
          </w:tcPr>
          <w:p w14:paraId="70D87A55">
            <w:pPr>
              <w:widowControl/>
              <w:jc w:val="center"/>
              <w:rPr>
                <w:rFonts w:ascii="宋体" w:cs="宋体"/>
                <w:kern w:val="0"/>
                <w:sz w:val="20"/>
                <w:szCs w:val="20"/>
              </w:rPr>
            </w:pPr>
            <w:r>
              <w:rPr>
                <w:rFonts w:ascii="宋体" w:hAnsi="宋体" w:cs="宋体"/>
                <w:kern w:val="0"/>
                <w:sz w:val="20"/>
                <w:szCs w:val="20"/>
              </w:rPr>
              <w:t>1</w:t>
            </w:r>
          </w:p>
        </w:tc>
        <w:tc>
          <w:tcPr>
            <w:tcW w:w="703" w:type="dxa"/>
            <w:vAlign w:val="center"/>
          </w:tcPr>
          <w:p w14:paraId="3D39F7DD">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7AF1BAC3">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64FAEA26">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198F2EEA">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233A3F5E">
            <w:pPr>
              <w:widowControl/>
              <w:jc w:val="right"/>
              <w:rPr>
                <w:rFonts w:ascii="宋体" w:cs="宋体"/>
                <w:kern w:val="0"/>
                <w:sz w:val="20"/>
                <w:szCs w:val="20"/>
              </w:rPr>
            </w:pPr>
            <w:r>
              <w:rPr>
                <w:rFonts w:hint="eastAsia" w:ascii="宋体" w:hAnsi="宋体" w:cs="宋体"/>
                <w:kern w:val="0"/>
                <w:sz w:val="20"/>
                <w:szCs w:val="20"/>
              </w:rPr>
              <w:t>　</w:t>
            </w:r>
          </w:p>
        </w:tc>
        <w:tc>
          <w:tcPr>
            <w:tcW w:w="835" w:type="dxa"/>
            <w:vAlign w:val="center"/>
          </w:tcPr>
          <w:p w14:paraId="247D3333">
            <w:pPr>
              <w:widowControl/>
              <w:jc w:val="right"/>
              <w:rPr>
                <w:rFonts w:ascii="宋体" w:cs="宋体"/>
                <w:kern w:val="0"/>
                <w:sz w:val="20"/>
                <w:szCs w:val="20"/>
              </w:rPr>
            </w:pPr>
            <w:r>
              <w:rPr>
                <w:rFonts w:hint="eastAsia" w:ascii="宋体" w:hAnsi="宋体" w:cs="宋体"/>
                <w:kern w:val="0"/>
                <w:sz w:val="20"/>
                <w:szCs w:val="20"/>
              </w:rPr>
              <w:t>　</w:t>
            </w:r>
          </w:p>
        </w:tc>
        <w:tc>
          <w:tcPr>
            <w:tcW w:w="1059" w:type="dxa"/>
            <w:vAlign w:val="center"/>
          </w:tcPr>
          <w:p w14:paraId="541D8CA1">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vAlign w:val="center"/>
          </w:tcPr>
          <w:p w14:paraId="4A21A357">
            <w:pPr>
              <w:widowControl/>
              <w:jc w:val="right"/>
              <w:rPr>
                <w:rFonts w:ascii="宋体" w:cs="宋体"/>
                <w:kern w:val="0"/>
                <w:sz w:val="20"/>
                <w:szCs w:val="20"/>
              </w:rPr>
            </w:pPr>
            <w:r>
              <w:rPr>
                <w:rFonts w:hint="eastAsia" w:ascii="宋体" w:hAnsi="宋体" w:cs="宋体"/>
                <w:kern w:val="0"/>
                <w:sz w:val="20"/>
                <w:szCs w:val="20"/>
              </w:rPr>
              <w:t>　</w:t>
            </w:r>
          </w:p>
        </w:tc>
        <w:tc>
          <w:tcPr>
            <w:tcW w:w="1043" w:type="dxa"/>
            <w:vAlign w:val="center"/>
          </w:tcPr>
          <w:p w14:paraId="36133CAB">
            <w:pPr>
              <w:widowControl/>
              <w:jc w:val="right"/>
              <w:rPr>
                <w:rFonts w:ascii="宋体" w:cs="宋体"/>
                <w:kern w:val="0"/>
                <w:sz w:val="20"/>
                <w:szCs w:val="20"/>
              </w:rPr>
            </w:pPr>
            <w:r>
              <w:rPr>
                <w:rFonts w:hint="eastAsia" w:ascii="宋体" w:hAnsi="宋体" w:cs="宋体"/>
                <w:kern w:val="0"/>
                <w:sz w:val="20"/>
                <w:szCs w:val="20"/>
              </w:rPr>
              <w:t>　</w:t>
            </w:r>
          </w:p>
        </w:tc>
        <w:tc>
          <w:tcPr>
            <w:tcW w:w="863" w:type="dxa"/>
            <w:vAlign w:val="center"/>
          </w:tcPr>
          <w:p w14:paraId="3B1F308E">
            <w:pPr>
              <w:widowControl/>
              <w:jc w:val="right"/>
              <w:rPr>
                <w:rFonts w:ascii="宋体" w:cs="宋体"/>
                <w:kern w:val="0"/>
                <w:sz w:val="20"/>
                <w:szCs w:val="20"/>
              </w:rPr>
            </w:pPr>
            <w:r>
              <w:rPr>
                <w:rFonts w:hint="eastAsia" w:ascii="宋体" w:hAnsi="宋体" w:cs="宋体"/>
                <w:kern w:val="0"/>
                <w:sz w:val="20"/>
                <w:szCs w:val="20"/>
              </w:rPr>
              <w:t>　</w:t>
            </w:r>
          </w:p>
        </w:tc>
        <w:tc>
          <w:tcPr>
            <w:tcW w:w="860" w:type="dxa"/>
            <w:vAlign w:val="center"/>
          </w:tcPr>
          <w:p w14:paraId="5B5D232F">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296557F5">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72D7E7FD">
            <w:pPr>
              <w:widowControl/>
              <w:jc w:val="right"/>
              <w:rPr>
                <w:rFonts w:ascii="宋体" w:cs="宋体"/>
                <w:kern w:val="0"/>
                <w:sz w:val="20"/>
                <w:szCs w:val="20"/>
              </w:rPr>
            </w:pPr>
            <w:r>
              <w:rPr>
                <w:rFonts w:hint="eastAsia" w:ascii="宋体" w:hAnsi="宋体" w:cs="宋体"/>
                <w:kern w:val="0"/>
                <w:sz w:val="20"/>
                <w:szCs w:val="20"/>
              </w:rPr>
              <w:t>　</w:t>
            </w:r>
          </w:p>
        </w:tc>
        <w:tc>
          <w:tcPr>
            <w:tcW w:w="1116" w:type="dxa"/>
            <w:vAlign w:val="center"/>
          </w:tcPr>
          <w:p w14:paraId="17645F40">
            <w:pPr>
              <w:widowControl/>
              <w:jc w:val="right"/>
              <w:rPr>
                <w:rFonts w:ascii="宋体" w:cs="宋体"/>
                <w:kern w:val="0"/>
                <w:sz w:val="20"/>
                <w:szCs w:val="20"/>
              </w:rPr>
            </w:pPr>
            <w:r>
              <w:rPr>
                <w:rFonts w:hint="eastAsia" w:ascii="宋体" w:hAnsi="宋体" w:cs="宋体"/>
                <w:kern w:val="0"/>
                <w:sz w:val="20"/>
                <w:szCs w:val="20"/>
              </w:rPr>
              <w:t>　</w:t>
            </w:r>
          </w:p>
        </w:tc>
        <w:tc>
          <w:tcPr>
            <w:tcW w:w="1283" w:type="dxa"/>
            <w:vAlign w:val="center"/>
          </w:tcPr>
          <w:p w14:paraId="439CDF8B">
            <w:pPr>
              <w:widowControl/>
              <w:jc w:val="right"/>
              <w:rPr>
                <w:rFonts w:ascii="宋体" w:cs="宋体"/>
                <w:kern w:val="0"/>
                <w:sz w:val="20"/>
                <w:szCs w:val="20"/>
              </w:rPr>
            </w:pPr>
            <w:r>
              <w:rPr>
                <w:rFonts w:hint="eastAsia" w:ascii="宋体" w:hAnsi="宋体" w:cs="宋体"/>
                <w:kern w:val="0"/>
                <w:sz w:val="20"/>
                <w:szCs w:val="20"/>
              </w:rPr>
              <w:t>　</w:t>
            </w:r>
          </w:p>
        </w:tc>
        <w:tc>
          <w:tcPr>
            <w:tcW w:w="741" w:type="dxa"/>
            <w:vAlign w:val="center"/>
          </w:tcPr>
          <w:p w14:paraId="32EF0A40">
            <w:pPr>
              <w:widowControl/>
              <w:jc w:val="right"/>
              <w:rPr>
                <w:rFonts w:ascii="宋体" w:cs="宋体"/>
                <w:kern w:val="0"/>
                <w:sz w:val="20"/>
                <w:szCs w:val="20"/>
              </w:rPr>
            </w:pPr>
            <w:r>
              <w:rPr>
                <w:rFonts w:hint="eastAsia" w:ascii="宋体" w:hAnsi="宋体" w:cs="宋体"/>
                <w:kern w:val="0"/>
                <w:sz w:val="20"/>
                <w:szCs w:val="20"/>
              </w:rPr>
              <w:t>　</w:t>
            </w:r>
          </w:p>
        </w:tc>
        <w:tc>
          <w:tcPr>
            <w:tcW w:w="708" w:type="dxa"/>
            <w:vAlign w:val="center"/>
          </w:tcPr>
          <w:p w14:paraId="259DE3E0">
            <w:pPr>
              <w:widowControl/>
              <w:jc w:val="right"/>
              <w:rPr>
                <w:rFonts w:ascii="宋体" w:cs="宋体"/>
                <w:kern w:val="0"/>
                <w:sz w:val="20"/>
                <w:szCs w:val="20"/>
              </w:rPr>
            </w:pPr>
            <w:r>
              <w:rPr>
                <w:rFonts w:hint="eastAsia" w:ascii="宋体" w:hAnsi="宋体" w:cs="宋体"/>
                <w:kern w:val="0"/>
                <w:sz w:val="20"/>
                <w:szCs w:val="20"/>
              </w:rPr>
              <w:t>　</w:t>
            </w:r>
          </w:p>
        </w:tc>
      </w:tr>
      <w:tr w14:paraId="2BBFA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vAlign w:val="center"/>
          </w:tcPr>
          <w:p w14:paraId="02E2FF67">
            <w:pPr>
              <w:widowControl/>
              <w:jc w:val="center"/>
              <w:rPr>
                <w:rFonts w:ascii="宋体" w:cs="宋体"/>
                <w:kern w:val="0"/>
                <w:sz w:val="20"/>
                <w:szCs w:val="20"/>
              </w:rPr>
            </w:pPr>
            <w:r>
              <w:rPr>
                <w:rFonts w:ascii="宋体" w:hAnsi="宋体" w:cs="宋体"/>
                <w:kern w:val="0"/>
                <w:sz w:val="20"/>
                <w:szCs w:val="20"/>
              </w:rPr>
              <w:t>2</w:t>
            </w:r>
          </w:p>
        </w:tc>
        <w:tc>
          <w:tcPr>
            <w:tcW w:w="703" w:type="dxa"/>
            <w:vAlign w:val="center"/>
          </w:tcPr>
          <w:p w14:paraId="45B2C03D">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429502BB">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106422BA">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5D034B8A">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3DA9E6C6">
            <w:pPr>
              <w:widowControl/>
              <w:jc w:val="right"/>
              <w:rPr>
                <w:rFonts w:ascii="宋体" w:cs="宋体"/>
                <w:kern w:val="0"/>
                <w:sz w:val="20"/>
                <w:szCs w:val="20"/>
              </w:rPr>
            </w:pPr>
            <w:r>
              <w:rPr>
                <w:rFonts w:hint="eastAsia" w:ascii="宋体" w:hAnsi="宋体" w:cs="宋体"/>
                <w:kern w:val="0"/>
                <w:sz w:val="20"/>
                <w:szCs w:val="20"/>
              </w:rPr>
              <w:t>　</w:t>
            </w:r>
          </w:p>
        </w:tc>
        <w:tc>
          <w:tcPr>
            <w:tcW w:w="835" w:type="dxa"/>
            <w:vAlign w:val="center"/>
          </w:tcPr>
          <w:p w14:paraId="2794E675">
            <w:pPr>
              <w:widowControl/>
              <w:jc w:val="right"/>
              <w:rPr>
                <w:rFonts w:ascii="宋体" w:cs="宋体"/>
                <w:kern w:val="0"/>
                <w:sz w:val="20"/>
                <w:szCs w:val="20"/>
              </w:rPr>
            </w:pPr>
            <w:r>
              <w:rPr>
                <w:rFonts w:hint="eastAsia" w:ascii="宋体" w:hAnsi="宋体" w:cs="宋体"/>
                <w:kern w:val="0"/>
                <w:sz w:val="20"/>
                <w:szCs w:val="20"/>
              </w:rPr>
              <w:t>　</w:t>
            </w:r>
          </w:p>
        </w:tc>
        <w:tc>
          <w:tcPr>
            <w:tcW w:w="1059" w:type="dxa"/>
            <w:vAlign w:val="center"/>
          </w:tcPr>
          <w:p w14:paraId="4A818608">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vAlign w:val="center"/>
          </w:tcPr>
          <w:p w14:paraId="7D2B885A">
            <w:pPr>
              <w:widowControl/>
              <w:jc w:val="right"/>
              <w:rPr>
                <w:rFonts w:ascii="宋体" w:cs="宋体"/>
                <w:kern w:val="0"/>
                <w:sz w:val="20"/>
                <w:szCs w:val="20"/>
              </w:rPr>
            </w:pPr>
            <w:r>
              <w:rPr>
                <w:rFonts w:hint="eastAsia" w:ascii="宋体" w:hAnsi="宋体" w:cs="宋体"/>
                <w:kern w:val="0"/>
                <w:sz w:val="20"/>
                <w:szCs w:val="20"/>
              </w:rPr>
              <w:t>　</w:t>
            </w:r>
          </w:p>
        </w:tc>
        <w:tc>
          <w:tcPr>
            <w:tcW w:w="1043" w:type="dxa"/>
            <w:vAlign w:val="center"/>
          </w:tcPr>
          <w:p w14:paraId="579BD057">
            <w:pPr>
              <w:widowControl/>
              <w:jc w:val="right"/>
              <w:rPr>
                <w:rFonts w:ascii="宋体" w:cs="宋体"/>
                <w:kern w:val="0"/>
                <w:sz w:val="20"/>
                <w:szCs w:val="20"/>
              </w:rPr>
            </w:pPr>
            <w:r>
              <w:rPr>
                <w:rFonts w:hint="eastAsia" w:ascii="宋体" w:hAnsi="宋体" w:cs="宋体"/>
                <w:kern w:val="0"/>
                <w:sz w:val="20"/>
                <w:szCs w:val="20"/>
              </w:rPr>
              <w:t>　</w:t>
            </w:r>
          </w:p>
        </w:tc>
        <w:tc>
          <w:tcPr>
            <w:tcW w:w="863" w:type="dxa"/>
            <w:vAlign w:val="center"/>
          </w:tcPr>
          <w:p w14:paraId="66FA8603">
            <w:pPr>
              <w:widowControl/>
              <w:jc w:val="right"/>
              <w:rPr>
                <w:rFonts w:ascii="宋体" w:cs="宋体"/>
                <w:kern w:val="0"/>
                <w:sz w:val="20"/>
                <w:szCs w:val="20"/>
              </w:rPr>
            </w:pPr>
            <w:r>
              <w:rPr>
                <w:rFonts w:hint="eastAsia" w:ascii="宋体" w:hAnsi="宋体" w:cs="宋体"/>
                <w:kern w:val="0"/>
                <w:sz w:val="20"/>
                <w:szCs w:val="20"/>
              </w:rPr>
              <w:t>　</w:t>
            </w:r>
          </w:p>
        </w:tc>
        <w:tc>
          <w:tcPr>
            <w:tcW w:w="860" w:type="dxa"/>
            <w:vAlign w:val="center"/>
          </w:tcPr>
          <w:p w14:paraId="061FFFEC">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51EE583E">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51AE6273">
            <w:pPr>
              <w:widowControl/>
              <w:jc w:val="right"/>
              <w:rPr>
                <w:rFonts w:ascii="宋体" w:cs="宋体"/>
                <w:kern w:val="0"/>
                <w:sz w:val="20"/>
                <w:szCs w:val="20"/>
              </w:rPr>
            </w:pPr>
            <w:r>
              <w:rPr>
                <w:rFonts w:hint="eastAsia" w:ascii="宋体" w:hAnsi="宋体" w:cs="宋体"/>
                <w:kern w:val="0"/>
                <w:sz w:val="20"/>
                <w:szCs w:val="20"/>
              </w:rPr>
              <w:t>　</w:t>
            </w:r>
          </w:p>
        </w:tc>
        <w:tc>
          <w:tcPr>
            <w:tcW w:w="1116" w:type="dxa"/>
            <w:vAlign w:val="center"/>
          </w:tcPr>
          <w:p w14:paraId="320B6099">
            <w:pPr>
              <w:widowControl/>
              <w:jc w:val="right"/>
              <w:rPr>
                <w:rFonts w:ascii="宋体" w:cs="宋体"/>
                <w:kern w:val="0"/>
                <w:sz w:val="20"/>
                <w:szCs w:val="20"/>
              </w:rPr>
            </w:pPr>
            <w:r>
              <w:rPr>
                <w:rFonts w:hint="eastAsia" w:ascii="宋体" w:hAnsi="宋体" w:cs="宋体"/>
                <w:kern w:val="0"/>
                <w:sz w:val="20"/>
                <w:szCs w:val="20"/>
              </w:rPr>
              <w:t>　</w:t>
            </w:r>
          </w:p>
        </w:tc>
        <w:tc>
          <w:tcPr>
            <w:tcW w:w="1283" w:type="dxa"/>
            <w:vAlign w:val="center"/>
          </w:tcPr>
          <w:p w14:paraId="6F8CB10E">
            <w:pPr>
              <w:widowControl/>
              <w:jc w:val="right"/>
              <w:rPr>
                <w:rFonts w:ascii="宋体" w:cs="宋体"/>
                <w:kern w:val="0"/>
                <w:sz w:val="20"/>
                <w:szCs w:val="20"/>
              </w:rPr>
            </w:pPr>
            <w:r>
              <w:rPr>
                <w:rFonts w:hint="eastAsia" w:ascii="宋体" w:hAnsi="宋体" w:cs="宋体"/>
                <w:kern w:val="0"/>
                <w:sz w:val="20"/>
                <w:szCs w:val="20"/>
              </w:rPr>
              <w:t>　</w:t>
            </w:r>
          </w:p>
        </w:tc>
        <w:tc>
          <w:tcPr>
            <w:tcW w:w="741" w:type="dxa"/>
            <w:vAlign w:val="center"/>
          </w:tcPr>
          <w:p w14:paraId="4C33747C">
            <w:pPr>
              <w:widowControl/>
              <w:jc w:val="right"/>
              <w:rPr>
                <w:rFonts w:ascii="宋体" w:cs="宋体"/>
                <w:kern w:val="0"/>
                <w:sz w:val="20"/>
                <w:szCs w:val="20"/>
              </w:rPr>
            </w:pPr>
            <w:r>
              <w:rPr>
                <w:rFonts w:hint="eastAsia" w:ascii="宋体" w:hAnsi="宋体" w:cs="宋体"/>
                <w:kern w:val="0"/>
                <w:sz w:val="20"/>
                <w:szCs w:val="20"/>
              </w:rPr>
              <w:t>　</w:t>
            </w:r>
          </w:p>
        </w:tc>
        <w:tc>
          <w:tcPr>
            <w:tcW w:w="708" w:type="dxa"/>
            <w:vAlign w:val="center"/>
          </w:tcPr>
          <w:p w14:paraId="68042675">
            <w:pPr>
              <w:widowControl/>
              <w:jc w:val="right"/>
              <w:rPr>
                <w:rFonts w:ascii="宋体" w:cs="宋体"/>
                <w:kern w:val="0"/>
                <w:sz w:val="20"/>
                <w:szCs w:val="20"/>
              </w:rPr>
            </w:pPr>
            <w:r>
              <w:rPr>
                <w:rFonts w:hint="eastAsia" w:ascii="宋体" w:hAnsi="宋体" w:cs="宋体"/>
                <w:kern w:val="0"/>
                <w:sz w:val="20"/>
                <w:szCs w:val="20"/>
              </w:rPr>
              <w:t>　</w:t>
            </w:r>
          </w:p>
        </w:tc>
      </w:tr>
      <w:tr w14:paraId="37179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vAlign w:val="center"/>
          </w:tcPr>
          <w:p w14:paraId="143D9D4B">
            <w:pPr>
              <w:widowControl/>
              <w:jc w:val="center"/>
              <w:rPr>
                <w:rFonts w:ascii="宋体" w:cs="宋体"/>
                <w:kern w:val="0"/>
                <w:sz w:val="20"/>
                <w:szCs w:val="20"/>
              </w:rPr>
            </w:pPr>
            <w:r>
              <w:rPr>
                <w:rFonts w:ascii="宋体" w:hAnsi="宋体" w:cs="宋体"/>
                <w:kern w:val="0"/>
                <w:sz w:val="20"/>
                <w:szCs w:val="20"/>
              </w:rPr>
              <w:t>3</w:t>
            </w:r>
          </w:p>
        </w:tc>
        <w:tc>
          <w:tcPr>
            <w:tcW w:w="703" w:type="dxa"/>
            <w:vAlign w:val="center"/>
          </w:tcPr>
          <w:p w14:paraId="4F104E5B">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1D1C1600">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324F9CEC">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1175A033">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72087077">
            <w:pPr>
              <w:widowControl/>
              <w:jc w:val="right"/>
              <w:rPr>
                <w:rFonts w:ascii="宋体" w:cs="宋体"/>
                <w:kern w:val="0"/>
                <w:sz w:val="20"/>
                <w:szCs w:val="20"/>
              </w:rPr>
            </w:pPr>
            <w:r>
              <w:rPr>
                <w:rFonts w:hint="eastAsia" w:ascii="宋体" w:hAnsi="宋体" w:cs="宋体"/>
                <w:kern w:val="0"/>
                <w:sz w:val="20"/>
                <w:szCs w:val="20"/>
              </w:rPr>
              <w:t>　</w:t>
            </w:r>
          </w:p>
        </w:tc>
        <w:tc>
          <w:tcPr>
            <w:tcW w:w="835" w:type="dxa"/>
            <w:vAlign w:val="center"/>
          </w:tcPr>
          <w:p w14:paraId="7AC392F8">
            <w:pPr>
              <w:widowControl/>
              <w:jc w:val="right"/>
              <w:rPr>
                <w:rFonts w:ascii="宋体" w:cs="宋体"/>
                <w:kern w:val="0"/>
                <w:sz w:val="20"/>
                <w:szCs w:val="20"/>
              </w:rPr>
            </w:pPr>
            <w:r>
              <w:rPr>
                <w:rFonts w:hint="eastAsia" w:ascii="宋体" w:hAnsi="宋体" w:cs="宋体"/>
                <w:kern w:val="0"/>
                <w:sz w:val="20"/>
                <w:szCs w:val="20"/>
              </w:rPr>
              <w:t>　</w:t>
            </w:r>
          </w:p>
        </w:tc>
        <w:tc>
          <w:tcPr>
            <w:tcW w:w="1059" w:type="dxa"/>
            <w:vAlign w:val="center"/>
          </w:tcPr>
          <w:p w14:paraId="32C5D688">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vAlign w:val="center"/>
          </w:tcPr>
          <w:p w14:paraId="07326490">
            <w:pPr>
              <w:widowControl/>
              <w:jc w:val="right"/>
              <w:rPr>
                <w:rFonts w:ascii="宋体" w:cs="宋体"/>
                <w:kern w:val="0"/>
                <w:sz w:val="20"/>
                <w:szCs w:val="20"/>
              </w:rPr>
            </w:pPr>
            <w:r>
              <w:rPr>
                <w:rFonts w:hint="eastAsia" w:ascii="宋体" w:hAnsi="宋体" w:cs="宋体"/>
                <w:kern w:val="0"/>
                <w:sz w:val="20"/>
                <w:szCs w:val="20"/>
              </w:rPr>
              <w:t>　</w:t>
            </w:r>
          </w:p>
        </w:tc>
        <w:tc>
          <w:tcPr>
            <w:tcW w:w="1043" w:type="dxa"/>
            <w:vAlign w:val="center"/>
          </w:tcPr>
          <w:p w14:paraId="4D393FBD">
            <w:pPr>
              <w:widowControl/>
              <w:jc w:val="right"/>
              <w:rPr>
                <w:rFonts w:ascii="宋体" w:cs="宋体"/>
                <w:kern w:val="0"/>
                <w:sz w:val="20"/>
                <w:szCs w:val="20"/>
              </w:rPr>
            </w:pPr>
            <w:r>
              <w:rPr>
                <w:rFonts w:hint="eastAsia" w:ascii="宋体" w:hAnsi="宋体" w:cs="宋体"/>
                <w:kern w:val="0"/>
                <w:sz w:val="20"/>
                <w:szCs w:val="20"/>
              </w:rPr>
              <w:t>　</w:t>
            </w:r>
          </w:p>
        </w:tc>
        <w:tc>
          <w:tcPr>
            <w:tcW w:w="863" w:type="dxa"/>
            <w:vAlign w:val="center"/>
          </w:tcPr>
          <w:p w14:paraId="34D8B43A">
            <w:pPr>
              <w:widowControl/>
              <w:jc w:val="right"/>
              <w:rPr>
                <w:rFonts w:ascii="宋体" w:cs="宋体"/>
                <w:kern w:val="0"/>
                <w:sz w:val="20"/>
                <w:szCs w:val="20"/>
              </w:rPr>
            </w:pPr>
            <w:r>
              <w:rPr>
                <w:rFonts w:hint="eastAsia" w:ascii="宋体" w:hAnsi="宋体" w:cs="宋体"/>
                <w:kern w:val="0"/>
                <w:sz w:val="20"/>
                <w:szCs w:val="20"/>
              </w:rPr>
              <w:t>　</w:t>
            </w:r>
          </w:p>
        </w:tc>
        <w:tc>
          <w:tcPr>
            <w:tcW w:w="860" w:type="dxa"/>
            <w:vAlign w:val="center"/>
          </w:tcPr>
          <w:p w14:paraId="45FEC4CF">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609218F6">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4A13D2B1">
            <w:pPr>
              <w:widowControl/>
              <w:jc w:val="right"/>
              <w:rPr>
                <w:rFonts w:ascii="宋体" w:cs="宋体"/>
                <w:kern w:val="0"/>
                <w:sz w:val="20"/>
                <w:szCs w:val="20"/>
              </w:rPr>
            </w:pPr>
            <w:r>
              <w:rPr>
                <w:rFonts w:hint="eastAsia" w:ascii="宋体" w:hAnsi="宋体" w:cs="宋体"/>
                <w:kern w:val="0"/>
                <w:sz w:val="20"/>
                <w:szCs w:val="20"/>
              </w:rPr>
              <w:t>　</w:t>
            </w:r>
          </w:p>
        </w:tc>
        <w:tc>
          <w:tcPr>
            <w:tcW w:w="1116" w:type="dxa"/>
            <w:vAlign w:val="center"/>
          </w:tcPr>
          <w:p w14:paraId="7D5A9F43">
            <w:pPr>
              <w:widowControl/>
              <w:jc w:val="right"/>
              <w:rPr>
                <w:rFonts w:ascii="宋体" w:cs="宋体"/>
                <w:kern w:val="0"/>
                <w:sz w:val="20"/>
                <w:szCs w:val="20"/>
              </w:rPr>
            </w:pPr>
            <w:r>
              <w:rPr>
                <w:rFonts w:hint="eastAsia" w:ascii="宋体" w:hAnsi="宋体" w:cs="宋体"/>
                <w:kern w:val="0"/>
                <w:sz w:val="20"/>
                <w:szCs w:val="20"/>
              </w:rPr>
              <w:t>　</w:t>
            </w:r>
          </w:p>
        </w:tc>
        <w:tc>
          <w:tcPr>
            <w:tcW w:w="1283" w:type="dxa"/>
            <w:vAlign w:val="center"/>
          </w:tcPr>
          <w:p w14:paraId="754EDFBB">
            <w:pPr>
              <w:widowControl/>
              <w:jc w:val="right"/>
              <w:rPr>
                <w:rFonts w:ascii="宋体" w:cs="宋体"/>
                <w:kern w:val="0"/>
                <w:sz w:val="20"/>
                <w:szCs w:val="20"/>
              </w:rPr>
            </w:pPr>
            <w:r>
              <w:rPr>
                <w:rFonts w:hint="eastAsia" w:ascii="宋体" w:hAnsi="宋体" w:cs="宋体"/>
                <w:kern w:val="0"/>
                <w:sz w:val="20"/>
                <w:szCs w:val="20"/>
              </w:rPr>
              <w:t>　</w:t>
            </w:r>
          </w:p>
        </w:tc>
        <w:tc>
          <w:tcPr>
            <w:tcW w:w="741" w:type="dxa"/>
            <w:vAlign w:val="center"/>
          </w:tcPr>
          <w:p w14:paraId="7BD00AAB">
            <w:pPr>
              <w:widowControl/>
              <w:jc w:val="right"/>
              <w:rPr>
                <w:rFonts w:ascii="宋体" w:cs="宋体"/>
                <w:kern w:val="0"/>
                <w:sz w:val="20"/>
                <w:szCs w:val="20"/>
              </w:rPr>
            </w:pPr>
            <w:r>
              <w:rPr>
                <w:rFonts w:hint="eastAsia" w:ascii="宋体" w:hAnsi="宋体" w:cs="宋体"/>
                <w:kern w:val="0"/>
                <w:sz w:val="20"/>
                <w:szCs w:val="20"/>
              </w:rPr>
              <w:t>　</w:t>
            </w:r>
          </w:p>
        </w:tc>
        <w:tc>
          <w:tcPr>
            <w:tcW w:w="708" w:type="dxa"/>
            <w:vAlign w:val="center"/>
          </w:tcPr>
          <w:p w14:paraId="4E41EA07">
            <w:pPr>
              <w:widowControl/>
              <w:jc w:val="right"/>
              <w:rPr>
                <w:rFonts w:ascii="宋体" w:cs="宋体"/>
                <w:kern w:val="0"/>
                <w:sz w:val="20"/>
                <w:szCs w:val="20"/>
              </w:rPr>
            </w:pPr>
            <w:r>
              <w:rPr>
                <w:rFonts w:hint="eastAsia" w:ascii="宋体" w:hAnsi="宋体" w:cs="宋体"/>
                <w:kern w:val="0"/>
                <w:sz w:val="20"/>
                <w:szCs w:val="20"/>
              </w:rPr>
              <w:t>　</w:t>
            </w:r>
          </w:p>
        </w:tc>
      </w:tr>
      <w:tr w14:paraId="69F5B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vAlign w:val="center"/>
          </w:tcPr>
          <w:p w14:paraId="287BE488">
            <w:pPr>
              <w:widowControl/>
              <w:jc w:val="center"/>
              <w:rPr>
                <w:rFonts w:ascii="宋体" w:cs="宋体"/>
                <w:kern w:val="0"/>
                <w:sz w:val="20"/>
                <w:szCs w:val="20"/>
              </w:rPr>
            </w:pPr>
            <w:r>
              <w:rPr>
                <w:rFonts w:ascii="宋体" w:hAnsi="宋体" w:cs="宋体"/>
                <w:kern w:val="0"/>
                <w:sz w:val="20"/>
                <w:szCs w:val="20"/>
              </w:rPr>
              <w:t>4</w:t>
            </w:r>
          </w:p>
        </w:tc>
        <w:tc>
          <w:tcPr>
            <w:tcW w:w="703" w:type="dxa"/>
            <w:vAlign w:val="center"/>
          </w:tcPr>
          <w:p w14:paraId="4158F21E">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394150B1">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3F737FB6">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115EA6F2">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3C36C119">
            <w:pPr>
              <w:widowControl/>
              <w:jc w:val="right"/>
              <w:rPr>
                <w:rFonts w:ascii="宋体" w:cs="宋体"/>
                <w:kern w:val="0"/>
                <w:sz w:val="20"/>
                <w:szCs w:val="20"/>
              </w:rPr>
            </w:pPr>
            <w:r>
              <w:rPr>
                <w:rFonts w:hint="eastAsia" w:ascii="宋体" w:hAnsi="宋体" w:cs="宋体"/>
                <w:kern w:val="0"/>
                <w:sz w:val="20"/>
                <w:szCs w:val="20"/>
              </w:rPr>
              <w:t>　</w:t>
            </w:r>
          </w:p>
        </w:tc>
        <w:tc>
          <w:tcPr>
            <w:tcW w:w="835" w:type="dxa"/>
            <w:vAlign w:val="center"/>
          </w:tcPr>
          <w:p w14:paraId="4690C548">
            <w:pPr>
              <w:widowControl/>
              <w:jc w:val="right"/>
              <w:rPr>
                <w:rFonts w:ascii="宋体" w:cs="宋体"/>
                <w:kern w:val="0"/>
                <w:sz w:val="20"/>
                <w:szCs w:val="20"/>
              </w:rPr>
            </w:pPr>
            <w:r>
              <w:rPr>
                <w:rFonts w:hint="eastAsia" w:ascii="宋体" w:hAnsi="宋体" w:cs="宋体"/>
                <w:kern w:val="0"/>
                <w:sz w:val="20"/>
                <w:szCs w:val="20"/>
              </w:rPr>
              <w:t>　</w:t>
            </w:r>
          </w:p>
        </w:tc>
        <w:tc>
          <w:tcPr>
            <w:tcW w:w="1059" w:type="dxa"/>
            <w:vAlign w:val="center"/>
          </w:tcPr>
          <w:p w14:paraId="744FF0BC">
            <w:pPr>
              <w:widowControl/>
              <w:jc w:val="right"/>
              <w:rPr>
                <w:rFonts w:ascii="宋体" w:cs="宋体"/>
                <w:b/>
                <w:bCs/>
                <w:kern w:val="0"/>
                <w:sz w:val="20"/>
                <w:szCs w:val="20"/>
              </w:rPr>
            </w:pPr>
            <w:r>
              <w:rPr>
                <w:rFonts w:hint="eastAsia" w:ascii="宋体" w:hAnsi="宋体" w:cs="宋体"/>
                <w:b/>
                <w:bCs/>
                <w:kern w:val="0"/>
                <w:sz w:val="20"/>
                <w:szCs w:val="20"/>
              </w:rPr>
              <w:t>　</w:t>
            </w:r>
          </w:p>
        </w:tc>
        <w:tc>
          <w:tcPr>
            <w:tcW w:w="782" w:type="dxa"/>
            <w:gridSpan w:val="2"/>
            <w:vAlign w:val="center"/>
          </w:tcPr>
          <w:p w14:paraId="04FC4A06">
            <w:pPr>
              <w:widowControl/>
              <w:jc w:val="right"/>
              <w:rPr>
                <w:rFonts w:ascii="宋体" w:cs="宋体"/>
                <w:kern w:val="0"/>
                <w:sz w:val="20"/>
                <w:szCs w:val="20"/>
              </w:rPr>
            </w:pPr>
            <w:r>
              <w:rPr>
                <w:rFonts w:hint="eastAsia" w:ascii="宋体" w:hAnsi="宋体" w:cs="宋体"/>
                <w:kern w:val="0"/>
                <w:sz w:val="20"/>
                <w:szCs w:val="20"/>
              </w:rPr>
              <w:t>　</w:t>
            </w:r>
          </w:p>
        </w:tc>
        <w:tc>
          <w:tcPr>
            <w:tcW w:w="1043" w:type="dxa"/>
            <w:vAlign w:val="center"/>
          </w:tcPr>
          <w:p w14:paraId="54CE7526">
            <w:pPr>
              <w:widowControl/>
              <w:jc w:val="right"/>
              <w:rPr>
                <w:rFonts w:ascii="宋体" w:cs="宋体"/>
                <w:kern w:val="0"/>
                <w:sz w:val="20"/>
                <w:szCs w:val="20"/>
              </w:rPr>
            </w:pPr>
            <w:r>
              <w:rPr>
                <w:rFonts w:hint="eastAsia" w:ascii="宋体" w:hAnsi="宋体" w:cs="宋体"/>
                <w:kern w:val="0"/>
                <w:sz w:val="20"/>
                <w:szCs w:val="20"/>
              </w:rPr>
              <w:t>　</w:t>
            </w:r>
          </w:p>
        </w:tc>
        <w:tc>
          <w:tcPr>
            <w:tcW w:w="863" w:type="dxa"/>
            <w:vAlign w:val="center"/>
          </w:tcPr>
          <w:p w14:paraId="7D14E63B">
            <w:pPr>
              <w:widowControl/>
              <w:jc w:val="right"/>
              <w:rPr>
                <w:rFonts w:ascii="宋体" w:cs="宋体"/>
                <w:kern w:val="0"/>
                <w:sz w:val="20"/>
                <w:szCs w:val="20"/>
              </w:rPr>
            </w:pPr>
            <w:r>
              <w:rPr>
                <w:rFonts w:hint="eastAsia" w:ascii="宋体" w:hAnsi="宋体" w:cs="宋体"/>
                <w:kern w:val="0"/>
                <w:sz w:val="20"/>
                <w:szCs w:val="20"/>
              </w:rPr>
              <w:t>　</w:t>
            </w:r>
          </w:p>
        </w:tc>
        <w:tc>
          <w:tcPr>
            <w:tcW w:w="860" w:type="dxa"/>
            <w:vAlign w:val="center"/>
          </w:tcPr>
          <w:p w14:paraId="4F4656B3">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2ABB377D">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7887A042">
            <w:pPr>
              <w:widowControl/>
              <w:jc w:val="right"/>
              <w:rPr>
                <w:rFonts w:ascii="宋体" w:cs="宋体"/>
                <w:kern w:val="0"/>
                <w:sz w:val="20"/>
                <w:szCs w:val="20"/>
              </w:rPr>
            </w:pPr>
            <w:r>
              <w:rPr>
                <w:rFonts w:hint="eastAsia" w:ascii="宋体" w:hAnsi="宋体" w:cs="宋体"/>
                <w:kern w:val="0"/>
                <w:sz w:val="20"/>
                <w:szCs w:val="20"/>
              </w:rPr>
              <w:t>　</w:t>
            </w:r>
          </w:p>
        </w:tc>
        <w:tc>
          <w:tcPr>
            <w:tcW w:w="1116" w:type="dxa"/>
            <w:vAlign w:val="center"/>
          </w:tcPr>
          <w:p w14:paraId="6763C999">
            <w:pPr>
              <w:widowControl/>
              <w:jc w:val="right"/>
              <w:rPr>
                <w:rFonts w:ascii="宋体" w:cs="宋体"/>
                <w:kern w:val="0"/>
                <w:sz w:val="20"/>
                <w:szCs w:val="20"/>
              </w:rPr>
            </w:pPr>
            <w:r>
              <w:rPr>
                <w:rFonts w:hint="eastAsia" w:ascii="宋体" w:hAnsi="宋体" w:cs="宋体"/>
                <w:kern w:val="0"/>
                <w:sz w:val="20"/>
                <w:szCs w:val="20"/>
              </w:rPr>
              <w:t>　</w:t>
            </w:r>
          </w:p>
        </w:tc>
        <w:tc>
          <w:tcPr>
            <w:tcW w:w="1283" w:type="dxa"/>
            <w:vAlign w:val="center"/>
          </w:tcPr>
          <w:p w14:paraId="1CF6C8D3">
            <w:pPr>
              <w:widowControl/>
              <w:jc w:val="right"/>
              <w:rPr>
                <w:rFonts w:ascii="宋体" w:cs="宋体"/>
                <w:kern w:val="0"/>
                <w:sz w:val="20"/>
                <w:szCs w:val="20"/>
              </w:rPr>
            </w:pPr>
            <w:r>
              <w:rPr>
                <w:rFonts w:hint="eastAsia" w:ascii="宋体" w:hAnsi="宋体" w:cs="宋体"/>
                <w:kern w:val="0"/>
                <w:sz w:val="20"/>
                <w:szCs w:val="20"/>
              </w:rPr>
              <w:t>　</w:t>
            </w:r>
          </w:p>
        </w:tc>
        <w:tc>
          <w:tcPr>
            <w:tcW w:w="741" w:type="dxa"/>
            <w:vAlign w:val="center"/>
          </w:tcPr>
          <w:p w14:paraId="600A3FD8">
            <w:pPr>
              <w:widowControl/>
              <w:jc w:val="right"/>
              <w:rPr>
                <w:rFonts w:ascii="宋体" w:cs="宋体"/>
                <w:kern w:val="0"/>
                <w:sz w:val="20"/>
                <w:szCs w:val="20"/>
              </w:rPr>
            </w:pPr>
            <w:r>
              <w:rPr>
                <w:rFonts w:hint="eastAsia" w:ascii="宋体" w:hAnsi="宋体" w:cs="宋体"/>
                <w:kern w:val="0"/>
                <w:sz w:val="20"/>
                <w:szCs w:val="20"/>
              </w:rPr>
              <w:t>　</w:t>
            </w:r>
          </w:p>
        </w:tc>
        <w:tc>
          <w:tcPr>
            <w:tcW w:w="708" w:type="dxa"/>
            <w:vAlign w:val="center"/>
          </w:tcPr>
          <w:p w14:paraId="57A65ED2">
            <w:pPr>
              <w:widowControl/>
              <w:jc w:val="right"/>
              <w:rPr>
                <w:rFonts w:ascii="宋体" w:cs="宋体"/>
                <w:kern w:val="0"/>
                <w:sz w:val="20"/>
                <w:szCs w:val="20"/>
              </w:rPr>
            </w:pPr>
            <w:r>
              <w:rPr>
                <w:rFonts w:hint="eastAsia" w:ascii="宋体" w:hAnsi="宋体" w:cs="宋体"/>
                <w:kern w:val="0"/>
                <w:sz w:val="20"/>
                <w:szCs w:val="20"/>
              </w:rPr>
              <w:t>　</w:t>
            </w:r>
          </w:p>
        </w:tc>
      </w:tr>
      <w:tr w14:paraId="7F199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vAlign w:val="center"/>
          </w:tcPr>
          <w:p w14:paraId="4EF7DB05">
            <w:pPr>
              <w:widowControl/>
              <w:jc w:val="center"/>
              <w:rPr>
                <w:rFonts w:ascii="宋体" w:cs="宋体"/>
                <w:kern w:val="0"/>
                <w:sz w:val="20"/>
                <w:szCs w:val="20"/>
              </w:rPr>
            </w:pPr>
            <w:r>
              <w:rPr>
                <w:rFonts w:ascii="宋体" w:hAnsi="宋体" w:cs="宋体"/>
                <w:kern w:val="0"/>
                <w:sz w:val="20"/>
                <w:szCs w:val="20"/>
              </w:rPr>
              <w:t>5</w:t>
            </w:r>
          </w:p>
        </w:tc>
        <w:tc>
          <w:tcPr>
            <w:tcW w:w="703" w:type="dxa"/>
            <w:vAlign w:val="center"/>
          </w:tcPr>
          <w:p w14:paraId="4E3800B7">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66B55E11">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79B4B679">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0711E776">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21BC2BFF">
            <w:pPr>
              <w:widowControl/>
              <w:jc w:val="right"/>
              <w:rPr>
                <w:rFonts w:ascii="宋体" w:cs="宋体"/>
                <w:kern w:val="0"/>
                <w:sz w:val="20"/>
                <w:szCs w:val="20"/>
              </w:rPr>
            </w:pPr>
            <w:r>
              <w:rPr>
                <w:rFonts w:hint="eastAsia" w:ascii="宋体" w:hAnsi="宋体" w:cs="宋体"/>
                <w:kern w:val="0"/>
                <w:sz w:val="20"/>
                <w:szCs w:val="20"/>
              </w:rPr>
              <w:t>　</w:t>
            </w:r>
          </w:p>
        </w:tc>
        <w:tc>
          <w:tcPr>
            <w:tcW w:w="835" w:type="dxa"/>
            <w:vAlign w:val="center"/>
          </w:tcPr>
          <w:p w14:paraId="11A0E8A7">
            <w:pPr>
              <w:widowControl/>
              <w:jc w:val="right"/>
              <w:rPr>
                <w:rFonts w:ascii="宋体" w:cs="宋体"/>
                <w:kern w:val="0"/>
                <w:sz w:val="20"/>
                <w:szCs w:val="20"/>
              </w:rPr>
            </w:pPr>
            <w:r>
              <w:rPr>
                <w:rFonts w:hint="eastAsia" w:ascii="宋体" w:hAnsi="宋体" w:cs="宋体"/>
                <w:kern w:val="0"/>
                <w:sz w:val="20"/>
                <w:szCs w:val="20"/>
              </w:rPr>
              <w:t>　</w:t>
            </w:r>
          </w:p>
        </w:tc>
        <w:tc>
          <w:tcPr>
            <w:tcW w:w="1059" w:type="dxa"/>
            <w:vAlign w:val="center"/>
          </w:tcPr>
          <w:p w14:paraId="47C63334">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vAlign w:val="center"/>
          </w:tcPr>
          <w:p w14:paraId="7A8828CA">
            <w:pPr>
              <w:widowControl/>
              <w:jc w:val="right"/>
              <w:rPr>
                <w:rFonts w:ascii="宋体" w:cs="宋体"/>
                <w:kern w:val="0"/>
                <w:sz w:val="20"/>
                <w:szCs w:val="20"/>
              </w:rPr>
            </w:pPr>
            <w:r>
              <w:rPr>
                <w:rFonts w:hint="eastAsia" w:ascii="宋体" w:hAnsi="宋体" w:cs="宋体"/>
                <w:kern w:val="0"/>
                <w:sz w:val="20"/>
                <w:szCs w:val="20"/>
              </w:rPr>
              <w:t>　</w:t>
            </w:r>
          </w:p>
        </w:tc>
        <w:tc>
          <w:tcPr>
            <w:tcW w:w="1043" w:type="dxa"/>
            <w:vAlign w:val="center"/>
          </w:tcPr>
          <w:p w14:paraId="2A069A70">
            <w:pPr>
              <w:widowControl/>
              <w:jc w:val="right"/>
              <w:rPr>
                <w:rFonts w:ascii="宋体" w:cs="宋体"/>
                <w:kern w:val="0"/>
                <w:sz w:val="20"/>
                <w:szCs w:val="20"/>
              </w:rPr>
            </w:pPr>
            <w:r>
              <w:rPr>
                <w:rFonts w:hint="eastAsia" w:ascii="宋体" w:hAnsi="宋体" w:cs="宋体"/>
                <w:kern w:val="0"/>
                <w:sz w:val="20"/>
                <w:szCs w:val="20"/>
              </w:rPr>
              <w:t>　</w:t>
            </w:r>
          </w:p>
        </w:tc>
        <w:tc>
          <w:tcPr>
            <w:tcW w:w="863" w:type="dxa"/>
            <w:vAlign w:val="center"/>
          </w:tcPr>
          <w:p w14:paraId="613EB49D">
            <w:pPr>
              <w:widowControl/>
              <w:jc w:val="right"/>
              <w:rPr>
                <w:rFonts w:ascii="宋体" w:cs="宋体"/>
                <w:kern w:val="0"/>
                <w:sz w:val="20"/>
                <w:szCs w:val="20"/>
              </w:rPr>
            </w:pPr>
            <w:r>
              <w:rPr>
                <w:rFonts w:hint="eastAsia" w:ascii="宋体" w:hAnsi="宋体" w:cs="宋体"/>
                <w:kern w:val="0"/>
                <w:sz w:val="20"/>
                <w:szCs w:val="20"/>
              </w:rPr>
              <w:t>　</w:t>
            </w:r>
          </w:p>
        </w:tc>
        <w:tc>
          <w:tcPr>
            <w:tcW w:w="860" w:type="dxa"/>
            <w:vAlign w:val="center"/>
          </w:tcPr>
          <w:p w14:paraId="3BE7C9DF">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28676AAB">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0A5DC992">
            <w:pPr>
              <w:widowControl/>
              <w:jc w:val="right"/>
              <w:rPr>
                <w:rFonts w:ascii="宋体" w:cs="宋体"/>
                <w:kern w:val="0"/>
                <w:sz w:val="20"/>
                <w:szCs w:val="20"/>
              </w:rPr>
            </w:pPr>
            <w:r>
              <w:rPr>
                <w:rFonts w:hint="eastAsia" w:ascii="宋体" w:hAnsi="宋体" w:cs="宋体"/>
                <w:kern w:val="0"/>
                <w:sz w:val="20"/>
                <w:szCs w:val="20"/>
              </w:rPr>
              <w:t>　</w:t>
            </w:r>
          </w:p>
        </w:tc>
        <w:tc>
          <w:tcPr>
            <w:tcW w:w="1116" w:type="dxa"/>
            <w:vAlign w:val="center"/>
          </w:tcPr>
          <w:p w14:paraId="1D32F218">
            <w:pPr>
              <w:widowControl/>
              <w:jc w:val="right"/>
              <w:rPr>
                <w:rFonts w:ascii="宋体" w:cs="宋体"/>
                <w:kern w:val="0"/>
                <w:sz w:val="20"/>
                <w:szCs w:val="20"/>
              </w:rPr>
            </w:pPr>
            <w:r>
              <w:rPr>
                <w:rFonts w:hint="eastAsia" w:ascii="宋体" w:hAnsi="宋体" w:cs="宋体"/>
                <w:kern w:val="0"/>
                <w:sz w:val="20"/>
                <w:szCs w:val="20"/>
              </w:rPr>
              <w:t>　</w:t>
            </w:r>
          </w:p>
        </w:tc>
        <w:tc>
          <w:tcPr>
            <w:tcW w:w="1283" w:type="dxa"/>
            <w:vAlign w:val="center"/>
          </w:tcPr>
          <w:p w14:paraId="0DE3C1AA">
            <w:pPr>
              <w:widowControl/>
              <w:jc w:val="right"/>
              <w:rPr>
                <w:rFonts w:ascii="宋体" w:cs="宋体"/>
                <w:kern w:val="0"/>
                <w:sz w:val="20"/>
                <w:szCs w:val="20"/>
              </w:rPr>
            </w:pPr>
            <w:r>
              <w:rPr>
                <w:rFonts w:hint="eastAsia" w:ascii="宋体" w:hAnsi="宋体" w:cs="宋体"/>
                <w:kern w:val="0"/>
                <w:sz w:val="20"/>
                <w:szCs w:val="20"/>
              </w:rPr>
              <w:t>　</w:t>
            </w:r>
          </w:p>
        </w:tc>
        <w:tc>
          <w:tcPr>
            <w:tcW w:w="741" w:type="dxa"/>
            <w:vAlign w:val="center"/>
          </w:tcPr>
          <w:p w14:paraId="2BA560B5">
            <w:pPr>
              <w:widowControl/>
              <w:jc w:val="right"/>
              <w:rPr>
                <w:rFonts w:ascii="宋体" w:cs="宋体"/>
                <w:kern w:val="0"/>
                <w:sz w:val="20"/>
                <w:szCs w:val="20"/>
              </w:rPr>
            </w:pPr>
            <w:r>
              <w:rPr>
                <w:rFonts w:hint="eastAsia" w:ascii="宋体" w:hAnsi="宋体" w:cs="宋体"/>
                <w:kern w:val="0"/>
                <w:sz w:val="20"/>
                <w:szCs w:val="20"/>
              </w:rPr>
              <w:t>　</w:t>
            </w:r>
          </w:p>
        </w:tc>
        <w:tc>
          <w:tcPr>
            <w:tcW w:w="708" w:type="dxa"/>
            <w:vAlign w:val="center"/>
          </w:tcPr>
          <w:p w14:paraId="2AF07770">
            <w:pPr>
              <w:widowControl/>
              <w:jc w:val="right"/>
              <w:rPr>
                <w:rFonts w:ascii="宋体" w:cs="宋体"/>
                <w:kern w:val="0"/>
                <w:sz w:val="20"/>
                <w:szCs w:val="20"/>
              </w:rPr>
            </w:pPr>
            <w:r>
              <w:rPr>
                <w:rFonts w:hint="eastAsia" w:ascii="宋体" w:hAnsi="宋体" w:cs="宋体"/>
                <w:kern w:val="0"/>
                <w:sz w:val="20"/>
                <w:szCs w:val="20"/>
              </w:rPr>
              <w:t>　</w:t>
            </w:r>
          </w:p>
        </w:tc>
      </w:tr>
      <w:tr w14:paraId="2F3FF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6" w:type="dxa"/>
            <w:vAlign w:val="center"/>
          </w:tcPr>
          <w:p w14:paraId="64A07F15">
            <w:pPr>
              <w:widowControl/>
              <w:jc w:val="center"/>
              <w:rPr>
                <w:rFonts w:ascii="宋体" w:cs="宋体"/>
                <w:kern w:val="0"/>
                <w:sz w:val="20"/>
                <w:szCs w:val="20"/>
              </w:rPr>
            </w:pPr>
            <w:r>
              <w:rPr>
                <w:rFonts w:ascii="宋体" w:hAnsi="宋体" w:cs="宋体"/>
                <w:kern w:val="0"/>
                <w:sz w:val="20"/>
                <w:szCs w:val="20"/>
              </w:rPr>
              <w:t>6</w:t>
            </w:r>
          </w:p>
        </w:tc>
        <w:tc>
          <w:tcPr>
            <w:tcW w:w="703" w:type="dxa"/>
            <w:vAlign w:val="center"/>
          </w:tcPr>
          <w:p w14:paraId="41AA6D8D">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39FD5016">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38FE166A">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53FB27DE">
            <w:pPr>
              <w:widowControl/>
              <w:jc w:val="right"/>
              <w:rPr>
                <w:rFonts w:ascii="宋体" w:cs="宋体"/>
                <w:kern w:val="0"/>
                <w:sz w:val="20"/>
                <w:szCs w:val="20"/>
              </w:rPr>
            </w:pPr>
            <w:r>
              <w:rPr>
                <w:rFonts w:hint="eastAsia" w:ascii="宋体" w:hAnsi="宋体" w:cs="宋体"/>
                <w:kern w:val="0"/>
                <w:sz w:val="20"/>
                <w:szCs w:val="20"/>
              </w:rPr>
              <w:t>　</w:t>
            </w:r>
          </w:p>
        </w:tc>
        <w:tc>
          <w:tcPr>
            <w:tcW w:w="627" w:type="dxa"/>
            <w:vAlign w:val="center"/>
          </w:tcPr>
          <w:p w14:paraId="20B0EBCD">
            <w:pPr>
              <w:widowControl/>
              <w:jc w:val="right"/>
              <w:rPr>
                <w:rFonts w:ascii="宋体" w:cs="宋体"/>
                <w:kern w:val="0"/>
                <w:sz w:val="20"/>
                <w:szCs w:val="20"/>
              </w:rPr>
            </w:pPr>
            <w:r>
              <w:rPr>
                <w:rFonts w:hint="eastAsia" w:ascii="宋体" w:hAnsi="宋体" w:cs="宋体"/>
                <w:kern w:val="0"/>
                <w:sz w:val="20"/>
                <w:szCs w:val="20"/>
              </w:rPr>
              <w:t>　</w:t>
            </w:r>
          </w:p>
        </w:tc>
        <w:tc>
          <w:tcPr>
            <w:tcW w:w="835" w:type="dxa"/>
            <w:vAlign w:val="center"/>
          </w:tcPr>
          <w:p w14:paraId="380252AF">
            <w:pPr>
              <w:widowControl/>
              <w:jc w:val="right"/>
              <w:rPr>
                <w:rFonts w:ascii="宋体" w:cs="宋体"/>
                <w:kern w:val="0"/>
                <w:sz w:val="20"/>
                <w:szCs w:val="20"/>
              </w:rPr>
            </w:pPr>
            <w:r>
              <w:rPr>
                <w:rFonts w:hint="eastAsia" w:ascii="宋体" w:hAnsi="宋体" w:cs="宋体"/>
                <w:kern w:val="0"/>
                <w:sz w:val="20"/>
                <w:szCs w:val="20"/>
              </w:rPr>
              <w:t>　</w:t>
            </w:r>
          </w:p>
        </w:tc>
        <w:tc>
          <w:tcPr>
            <w:tcW w:w="1059" w:type="dxa"/>
            <w:vAlign w:val="center"/>
          </w:tcPr>
          <w:p w14:paraId="0E6AA456">
            <w:pPr>
              <w:widowControl/>
              <w:jc w:val="right"/>
              <w:rPr>
                <w:rFonts w:ascii="宋体" w:cs="宋体"/>
                <w:kern w:val="0"/>
                <w:sz w:val="20"/>
                <w:szCs w:val="20"/>
              </w:rPr>
            </w:pPr>
            <w:r>
              <w:rPr>
                <w:rFonts w:hint="eastAsia" w:ascii="宋体" w:hAnsi="宋体" w:cs="宋体"/>
                <w:kern w:val="0"/>
                <w:sz w:val="20"/>
                <w:szCs w:val="20"/>
              </w:rPr>
              <w:t>　</w:t>
            </w:r>
          </w:p>
        </w:tc>
        <w:tc>
          <w:tcPr>
            <w:tcW w:w="782" w:type="dxa"/>
            <w:gridSpan w:val="2"/>
            <w:vAlign w:val="center"/>
          </w:tcPr>
          <w:p w14:paraId="4DE67B1F">
            <w:pPr>
              <w:widowControl/>
              <w:jc w:val="right"/>
              <w:rPr>
                <w:rFonts w:ascii="宋体" w:cs="宋体"/>
                <w:kern w:val="0"/>
                <w:sz w:val="20"/>
                <w:szCs w:val="20"/>
              </w:rPr>
            </w:pPr>
            <w:r>
              <w:rPr>
                <w:rFonts w:hint="eastAsia" w:ascii="宋体" w:hAnsi="宋体" w:cs="宋体"/>
                <w:kern w:val="0"/>
                <w:sz w:val="20"/>
                <w:szCs w:val="20"/>
              </w:rPr>
              <w:t>　</w:t>
            </w:r>
          </w:p>
        </w:tc>
        <w:tc>
          <w:tcPr>
            <w:tcW w:w="1043" w:type="dxa"/>
            <w:vAlign w:val="center"/>
          </w:tcPr>
          <w:p w14:paraId="39913624">
            <w:pPr>
              <w:widowControl/>
              <w:jc w:val="right"/>
              <w:rPr>
                <w:rFonts w:ascii="宋体" w:cs="宋体"/>
                <w:kern w:val="0"/>
                <w:sz w:val="20"/>
                <w:szCs w:val="20"/>
              </w:rPr>
            </w:pPr>
            <w:r>
              <w:rPr>
                <w:rFonts w:hint="eastAsia" w:ascii="宋体" w:hAnsi="宋体" w:cs="宋体"/>
                <w:kern w:val="0"/>
                <w:sz w:val="20"/>
                <w:szCs w:val="20"/>
              </w:rPr>
              <w:t>　</w:t>
            </w:r>
          </w:p>
        </w:tc>
        <w:tc>
          <w:tcPr>
            <w:tcW w:w="863" w:type="dxa"/>
            <w:vAlign w:val="center"/>
          </w:tcPr>
          <w:p w14:paraId="61B1DB57">
            <w:pPr>
              <w:widowControl/>
              <w:jc w:val="right"/>
              <w:rPr>
                <w:rFonts w:ascii="宋体" w:cs="宋体"/>
                <w:kern w:val="0"/>
                <w:sz w:val="20"/>
                <w:szCs w:val="20"/>
              </w:rPr>
            </w:pPr>
            <w:r>
              <w:rPr>
                <w:rFonts w:hint="eastAsia" w:ascii="宋体" w:hAnsi="宋体" w:cs="宋体"/>
                <w:kern w:val="0"/>
                <w:sz w:val="20"/>
                <w:szCs w:val="20"/>
              </w:rPr>
              <w:t>　</w:t>
            </w:r>
          </w:p>
        </w:tc>
        <w:tc>
          <w:tcPr>
            <w:tcW w:w="860" w:type="dxa"/>
            <w:vAlign w:val="center"/>
          </w:tcPr>
          <w:p w14:paraId="275C3768">
            <w:pPr>
              <w:widowControl/>
              <w:jc w:val="right"/>
              <w:rPr>
                <w:rFonts w:ascii="宋体" w:cs="宋体"/>
                <w:kern w:val="0"/>
                <w:sz w:val="20"/>
                <w:szCs w:val="20"/>
              </w:rPr>
            </w:pPr>
            <w:r>
              <w:rPr>
                <w:rFonts w:hint="eastAsia" w:ascii="宋体" w:hAnsi="宋体" w:cs="宋体"/>
                <w:kern w:val="0"/>
                <w:sz w:val="20"/>
                <w:szCs w:val="20"/>
              </w:rPr>
              <w:t>　</w:t>
            </w:r>
          </w:p>
        </w:tc>
        <w:tc>
          <w:tcPr>
            <w:tcW w:w="666" w:type="dxa"/>
            <w:vAlign w:val="center"/>
          </w:tcPr>
          <w:p w14:paraId="5845DB94">
            <w:pPr>
              <w:widowControl/>
              <w:jc w:val="right"/>
              <w:rPr>
                <w:rFonts w:ascii="宋体" w:cs="宋体"/>
                <w:kern w:val="0"/>
                <w:sz w:val="20"/>
                <w:szCs w:val="20"/>
              </w:rPr>
            </w:pPr>
            <w:r>
              <w:rPr>
                <w:rFonts w:hint="eastAsia" w:ascii="宋体" w:hAnsi="宋体" w:cs="宋体"/>
                <w:kern w:val="0"/>
                <w:sz w:val="20"/>
                <w:szCs w:val="20"/>
              </w:rPr>
              <w:t>　</w:t>
            </w:r>
          </w:p>
        </w:tc>
        <w:tc>
          <w:tcPr>
            <w:tcW w:w="866" w:type="dxa"/>
            <w:vAlign w:val="center"/>
          </w:tcPr>
          <w:p w14:paraId="66E72251">
            <w:pPr>
              <w:widowControl/>
              <w:jc w:val="right"/>
              <w:rPr>
                <w:rFonts w:ascii="宋体" w:cs="宋体"/>
                <w:kern w:val="0"/>
                <w:sz w:val="20"/>
                <w:szCs w:val="20"/>
              </w:rPr>
            </w:pPr>
            <w:r>
              <w:rPr>
                <w:rFonts w:hint="eastAsia" w:ascii="宋体" w:hAnsi="宋体" w:cs="宋体"/>
                <w:kern w:val="0"/>
                <w:sz w:val="20"/>
                <w:szCs w:val="20"/>
              </w:rPr>
              <w:t>　</w:t>
            </w:r>
          </w:p>
        </w:tc>
        <w:tc>
          <w:tcPr>
            <w:tcW w:w="1116" w:type="dxa"/>
            <w:vAlign w:val="center"/>
          </w:tcPr>
          <w:p w14:paraId="66BDDF8B">
            <w:pPr>
              <w:widowControl/>
              <w:jc w:val="right"/>
              <w:rPr>
                <w:rFonts w:ascii="宋体" w:cs="宋体"/>
                <w:kern w:val="0"/>
                <w:sz w:val="20"/>
                <w:szCs w:val="20"/>
              </w:rPr>
            </w:pPr>
            <w:r>
              <w:rPr>
                <w:rFonts w:hint="eastAsia" w:ascii="宋体" w:hAnsi="宋体" w:cs="宋体"/>
                <w:kern w:val="0"/>
                <w:sz w:val="20"/>
                <w:szCs w:val="20"/>
              </w:rPr>
              <w:t>　</w:t>
            </w:r>
          </w:p>
        </w:tc>
        <w:tc>
          <w:tcPr>
            <w:tcW w:w="1283" w:type="dxa"/>
            <w:vAlign w:val="center"/>
          </w:tcPr>
          <w:p w14:paraId="60DB6CE3">
            <w:pPr>
              <w:widowControl/>
              <w:jc w:val="right"/>
              <w:rPr>
                <w:rFonts w:ascii="宋体" w:cs="宋体"/>
                <w:kern w:val="0"/>
                <w:sz w:val="20"/>
                <w:szCs w:val="20"/>
              </w:rPr>
            </w:pPr>
            <w:r>
              <w:rPr>
                <w:rFonts w:hint="eastAsia" w:ascii="宋体" w:hAnsi="宋体" w:cs="宋体"/>
                <w:kern w:val="0"/>
                <w:sz w:val="20"/>
                <w:szCs w:val="20"/>
              </w:rPr>
              <w:t>　</w:t>
            </w:r>
          </w:p>
        </w:tc>
        <w:tc>
          <w:tcPr>
            <w:tcW w:w="741" w:type="dxa"/>
            <w:vAlign w:val="center"/>
          </w:tcPr>
          <w:p w14:paraId="07247C49">
            <w:pPr>
              <w:widowControl/>
              <w:jc w:val="right"/>
              <w:rPr>
                <w:rFonts w:ascii="宋体" w:cs="宋体"/>
                <w:kern w:val="0"/>
                <w:sz w:val="20"/>
                <w:szCs w:val="20"/>
              </w:rPr>
            </w:pPr>
            <w:r>
              <w:rPr>
                <w:rFonts w:hint="eastAsia" w:ascii="宋体" w:hAnsi="宋体" w:cs="宋体"/>
                <w:kern w:val="0"/>
                <w:sz w:val="20"/>
                <w:szCs w:val="20"/>
              </w:rPr>
              <w:t>　</w:t>
            </w:r>
          </w:p>
        </w:tc>
        <w:tc>
          <w:tcPr>
            <w:tcW w:w="708" w:type="dxa"/>
            <w:vAlign w:val="center"/>
          </w:tcPr>
          <w:p w14:paraId="6FE21DFE">
            <w:pPr>
              <w:widowControl/>
              <w:jc w:val="right"/>
              <w:rPr>
                <w:rFonts w:ascii="宋体" w:cs="宋体"/>
                <w:kern w:val="0"/>
                <w:sz w:val="20"/>
                <w:szCs w:val="20"/>
              </w:rPr>
            </w:pPr>
            <w:r>
              <w:rPr>
                <w:rFonts w:hint="eastAsia" w:ascii="宋体" w:hAnsi="宋体" w:cs="宋体"/>
                <w:kern w:val="0"/>
                <w:sz w:val="20"/>
                <w:szCs w:val="20"/>
              </w:rPr>
              <w:t>　</w:t>
            </w:r>
          </w:p>
        </w:tc>
      </w:tr>
      <w:tr w14:paraId="376E4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16" w:type="dxa"/>
            <w:vAlign w:val="center"/>
          </w:tcPr>
          <w:p w14:paraId="1EBC1112">
            <w:pPr>
              <w:widowControl/>
              <w:jc w:val="center"/>
              <w:rPr>
                <w:rFonts w:ascii="宋体" w:cs="宋体"/>
                <w:kern w:val="0"/>
                <w:sz w:val="20"/>
                <w:szCs w:val="20"/>
              </w:rPr>
            </w:pPr>
            <w:r>
              <w:rPr>
                <w:rFonts w:ascii="宋体" w:hAnsi="宋体" w:cs="宋体"/>
                <w:kern w:val="0"/>
                <w:sz w:val="20"/>
                <w:szCs w:val="20"/>
              </w:rPr>
              <w:t>7</w:t>
            </w:r>
          </w:p>
        </w:tc>
        <w:tc>
          <w:tcPr>
            <w:tcW w:w="703" w:type="dxa"/>
            <w:vAlign w:val="center"/>
          </w:tcPr>
          <w:p w14:paraId="21905DBB">
            <w:pPr>
              <w:widowControl/>
              <w:jc w:val="right"/>
              <w:rPr>
                <w:rFonts w:ascii="宋体" w:cs="宋体"/>
                <w:kern w:val="0"/>
                <w:sz w:val="20"/>
                <w:szCs w:val="20"/>
              </w:rPr>
            </w:pPr>
          </w:p>
        </w:tc>
        <w:tc>
          <w:tcPr>
            <w:tcW w:w="866" w:type="dxa"/>
            <w:vAlign w:val="center"/>
          </w:tcPr>
          <w:p w14:paraId="5774B065">
            <w:pPr>
              <w:widowControl/>
              <w:jc w:val="right"/>
              <w:rPr>
                <w:rFonts w:ascii="宋体" w:cs="宋体"/>
                <w:kern w:val="0"/>
                <w:sz w:val="20"/>
                <w:szCs w:val="20"/>
              </w:rPr>
            </w:pPr>
          </w:p>
        </w:tc>
        <w:tc>
          <w:tcPr>
            <w:tcW w:w="627" w:type="dxa"/>
            <w:vAlign w:val="center"/>
          </w:tcPr>
          <w:p w14:paraId="56664A01">
            <w:pPr>
              <w:widowControl/>
              <w:jc w:val="right"/>
              <w:rPr>
                <w:rFonts w:ascii="宋体" w:cs="宋体"/>
                <w:kern w:val="0"/>
                <w:sz w:val="20"/>
                <w:szCs w:val="20"/>
              </w:rPr>
            </w:pPr>
          </w:p>
        </w:tc>
        <w:tc>
          <w:tcPr>
            <w:tcW w:w="666" w:type="dxa"/>
            <w:vAlign w:val="center"/>
          </w:tcPr>
          <w:p w14:paraId="3805DA69">
            <w:pPr>
              <w:widowControl/>
              <w:jc w:val="right"/>
              <w:rPr>
                <w:rFonts w:ascii="宋体" w:cs="宋体"/>
                <w:kern w:val="0"/>
                <w:sz w:val="20"/>
                <w:szCs w:val="20"/>
              </w:rPr>
            </w:pPr>
          </w:p>
        </w:tc>
        <w:tc>
          <w:tcPr>
            <w:tcW w:w="627" w:type="dxa"/>
            <w:vAlign w:val="center"/>
          </w:tcPr>
          <w:p w14:paraId="323515C1">
            <w:pPr>
              <w:widowControl/>
              <w:jc w:val="right"/>
              <w:rPr>
                <w:rFonts w:ascii="宋体" w:cs="宋体"/>
                <w:kern w:val="0"/>
                <w:sz w:val="20"/>
                <w:szCs w:val="20"/>
              </w:rPr>
            </w:pPr>
          </w:p>
        </w:tc>
        <w:tc>
          <w:tcPr>
            <w:tcW w:w="835" w:type="dxa"/>
            <w:vAlign w:val="center"/>
          </w:tcPr>
          <w:p w14:paraId="26B1A4D9">
            <w:pPr>
              <w:widowControl/>
              <w:jc w:val="right"/>
              <w:rPr>
                <w:rFonts w:ascii="宋体" w:cs="宋体"/>
                <w:kern w:val="0"/>
                <w:sz w:val="20"/>
                <w:szCs w:val="20"/>
              </w:rPr>
            </w:pPr>
          </w:p>
        </w:tc>
        <w:tc>
          <w:tcPr>
            <w:tcW w:w="1059" w:type="dxa"/>
            <w:vAlign w:val="center"/>
          </w:tcPr>
          <w:p w14:paraId="1FFD46F7">
            <w:pPr>
              <w:widowControl/>
              <w:jc w:val="right"/>
              <w:rPr>
                <w:rFonts w:ascii="宋体" w:cs="宋体"/>
                <w:kern w:val="0"/>
                <w:sz w:val="20"/>
                <w:szCs w:val="20"/>
              </w:rPr>
            </w:pPr>
          </w:p>
        </w:tc>
        <w:tc>
          <w:tcPr>
            <w:tcW w:w="782" w:type="dxa"/>
            <w:gridSpan w:val="2"/>
            <w:vAlign w:val="center"/>
          </w:tcPr>
          <w:p w14:paraId="48077775">
            <w:pPr>
              <w:widowControl/>
              <w:jc w:val="right"/>
              <w:rPr>
                <w:rFonts w:ascii="宋体" w:cs="宋体"/>
                <w:kern w:val="0"/>
                <w:sz w:val="20"/>
                <w:szCs w:val="20"/>
              </w:rPr>
            </w:pPr>
          </w:p>
        </w:tc>
        <w:tc>
          <w:tcPr>
            <w:tcW w:w="1043" w:type="dxa"/>
            <w:vAlign w:val="center"/>
          </w:tcPr>
          <w:p w14:paraId="14C9F8E4">
            <w:pPr>
              <w:widowControl/>
              <w:jc w:val="right"/>
              <w:rPr>
                <w:rFonts w:ascii="宋体" w:cs="宋体"/>
                <w:kern w:val="0"/>
                <w:sz w:val="20"/>
                <w:szCs w:val="20"/>
              </w:rPr>
            </w:pPr>
          </w:p>
        </w:tc>
        <w:tc>
          <w:tcPr>
            <w:tcW w:w="863" w:type="dxa"/>
            <w:vAlign w:val="center"/>
          </w:tcPr>
          <w:p w14:paraId="1E6E2D49">
            <w:pPr>
              <w:widowControl/>
              <w:jc w:val="right"/>
              <w:rPr>
                <w:rFonts w:ascii="宋体" w:cs="宋体"/>
                <w:kern w:val="0"/>
                <w:sz w:val="20"/>
                <w:szCs w:val="20"/>
              </w:rPr>
            </w:pPr>
          </w:p>
        </w:tc>
        <w:tc>
          <w:tcPr>
            <w:tcW w:w="860" w:type="dxa"/>
            <w:vAlign w:val="center"/>
          </w:tcPr>
          <w:p w14:paraId="1872EC98">
            <w:pPr>
              <w:widowControl/>
              <w:jc w:val="right"/>
              <w:rPr>
                <w:rFonts w:ascii="宋体" w:cs="宋体"/>
                <w:kern w:val="0"/>
                <w:sz w:val="20"/>
                <w:szCs w:val="20"/>
              </w:rPr>
            </w:pPr>
          </w:p>
        </w:tc>
        <w:tc>
          <w:tcPr>
            <w:tcW w:w="666" w:type="dxa"/>
            <w:vAlign w:val="center"/>
          </w:tcPr>
          <w:p w14:paraId="21205EA8">
            <w:pPr>
              <w:widowControl/>
              <w:jc w:val="right"/>
              <w:rPr>
                <w:rFonts w:ascii="宋体" w:cs="宋体"/>
                <w:kern w:val="0"/>
                <w:sz w:val="20"/>
                <w:szCs w:val="20"/>
              </w:rPr>
            </w:pPr>
          </w:p>
        </w:tc>
        <w:tc>
          <w:tcPr>
            <w:tcW w:w="866" w:type="dxa"/>
            <w:vAlign w:val="center"/>
          </w:tcPr>
          <w:p w14:paraId="6315E497">
            <w:pPr>
              <w:widowControl/>
              <w:jc w:val="right"/>
              <w:rPr>
                <w:rFonts w:ascii="宋体" w:cs="宋体"/>
                <w:kern w:val="0"/>
                <w:sz w:val="20"/>
                <w:szCs w:val="20"/>
              </w:rPr>
            </w:pPr>
          </w:p>
        </w:tc>
        <w:tc>
          <w:tcPr>
            <w:tcW w:w="1116" w:type="dxa"/>
            <w:vAlign w:val="center"/>
          </w:tcPr>
          <w:p w14:paraId="3F7DFA9D">
            <w:pPr>
              <w:widowControl/>
              <w:jc w:val="right"/>
              <w:rPr>
                <w:rFonts w:ascii="宋体" w:cs="宋体"/>
                <w:kern w:val="0"/>
                <w:sz w:val="20"/>
                <w:szCs w:val="20"/>
              </w:rPr>
            </w:pPr>
          </w:p>
        </w:tc>
        <w:tc>
          <w:tcPr>
            <w:tcW w:w="1283" w:type="dxa"/>
            <w:vAlign w:val="center"/>
          </w:tcPr>
          <w:p w14:paraId="73D85F09">
            <w:pPr>
              <w:widowControl/>
              <w:jc w:val="right"/>
              <w:rPr>
                <w:rFonts w:ascii="宋体" w:cs="宋体"/>
                <w:kern w:val="0"/>
                <w:sz w:val="20"/>
                <w:szCs w:val="20"/>
              </w:rPr>
            </w:pPr>
          </w:p>
        </w:tc>
        <w:tc>
          <w:tcPr>
            <w:tcW w:w="741" w:type="dxa"/>
            <w:vAlign w:val="center"/>
          </w:tcPr>
          <w:p w14:paraId="3CB59BE9">
            <w:pPr>
              <w:widowControl/>
              <w:jc w:val="right"/>
              <w:rPr>
                <w:rFonts w:ascii="宋体" w:cs="宋体"/>
                <w:kern w:val="0"/>
                <w:sz w:val="20"/>
                <w:szCs w:val="20"/>
              </w:rPr>
            </w:pPr>
          </w:p>
        </w:tc>
        <w:tc>
          <w:tcPr>
            <w:tcW w:w="708" w:type="dxa"/>
            <w:vAlign w:val="center"/>
          </w:tcPr>
          <w:p w14:paraId="7B321526">
            <w:pPr>
              <w:widowControl/>
              <w:jc w:val="right"/>
              <w:rPr>
                <w:rFonts w:ascii="宋体" w:cs="宋体"/>
                <w:kern w:val="0"/>
                <w:sz w:val="20"/>
                <w:szCs w:val="20"/>
              </w:rPr>
            </w:pPr>
          </w:p>
        </w:tc>
      </w:tr>
      <w:tr w14:paraId="5FC45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616" w:type="dxa"/>
            <w:vAlign w:val="center"/>
          </w:tcPr>
          <w:p w14:paraId="2607A68D">
            <w:pPr>
              <w:widowControl/>
              <w:jc w:val="center"/>
              <w:rPr>
                <w:rFonts w:ascii="宋体" w:cs="宋体"/>
                <w:kern w:val="0"/>
                <w:sz w:val="20"/>
                <w:szCs w:val="20"/>
              </w:rPr>
            </w:pPr>
            <w:r>
              <w:rPr>
                <w:rFonts w:ascii="宋体" w:hAnsi="宋体" w:cs="宋体"/>
                <w:kern w:val="0"/>
                <w:sz w:val="20"/>
                <w:szCs w:val="20"/>
              </w:rPr>
              <w:t>8</w:t>
            </w:r>
          </w:p>
        </w:tc>
        <w:tc>
          <w:tcPr>
            <w:tcW w:w="13603" w:type="dxa"/>
            <w:gridSpan w:val="17"/>
            <w:vAlign w:val="center"/>
          </w:tcPr>
          <w:p w14:paraId="128C2B47">
            <w:pPr>
              <w:widowControl/>
              <w:jc w:val="left"/>
              <w:rPr>
                <w:rFonts w:ascii="宋体" w:cs="宋体"/>
                <w:kern w:val="0"/>
                <w:sz w:val="20"/>
                <w:szCs w:val="20"/>
              </w:rPr>
            </w:pPr>
            <w:r>
              <w:rPr>
                <w:rFonts w:hint="eastAsia" w:ascii="宋体" w:hAnsi="宋体" w:cs="宋体"/>
                <w:kern w:val="0"/>
                <w:sz w:val="20"/>
                <w:szCs w:val="20"/>
              </w:rPr>
              <w:t>合计</w:t>
            </w:r>
          </w:p>
        </w:tc>
        <w:tc>
          <w:tcPr>
            <w:tcW w:w="708" w:type="dxa"/>
            <w:vAlign w:val="center"/>
          </w:tcPr>
          <w:p w14:paraId="4A00C65D">
            <w:pPr>
              <w:widowControl/>
              <w:jc w:val="right"/>
              <w:rPr>
                <w:rFonts w:ascii="宋体" w:cs="宋体"/>
                <w:kern w:val="0"/>
                <w:sz w:val="20"/>
                <w:szCs w:val="20"/>
              </w:rPr>
            </w:pPr>
          </w:p>
        </w:tc>
      </w:tr>
      <w:tr w14:paraId="46C8E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616" w:type="dxa"/>
            <w:vAlign w:val="center"/>
          </w:tcPr>
          <w:p w14:paraId="6FAB642A">
            <w:pPr>
              <w:widowControl/>
              <w:jc w:val="center"/>
              <w:rPr>
                <w:rFonts w:ascii="宋体" w:cs="宋体"/>
                <w:kern w:val="0"/>
                <w:sz w:val="20"/>
                <w:szCs w:val="20"/>
              </w:rPr>
            </w:pPr>
            <w:r>
              <w:rPr>
                <w:rFonts w:ascii="宋体" w:hAnsi="宋体" w:cs="宋体"/>
                <w:kern w:val="0"/>
                <w:sz w:val="20"/>
                <w:szCs w:val="20"/>
              </w:rPr>
              <w:t>9</w:t>
            </w:r>
          </w:p>
        </w:tc>
        <w:tc>
          <w:tcPr>
            <w:tcW w:w="13603" w:type="dxa"/>
            <w:gridSpan w:val="17"/>
            <w:vAlign w:val="center"/>
          </w:tcPr>
          <w:p w14:paraId="0980291C">
            <w:pPr>
              <w:widowControl/>
              <w:jc w:val="left"/>
              <w:rPr>
                <w:rFonts w:ascii="宋体" w:cs="宋体"/>
                <w:kern w:val="0"/>
                <w:sz w:val="20"/>
                <w:szCs w:val="20"/>
              </w:rPr>
            </w:pPr>
            <w:r>
              <w:rPr>
                <w:rFonts w:hint="eastAsia" w:ascii="宋体" w:hAnsi="宋体" w:cs="宋体"/>
                <w:kern w:val="0"/>
                <w:sz w:val="20"/>
                <w:szCs w:val="20"/>
              </w:rPr>
              <w:t>其中：直接投资或非</w:t>
            </w:r>
            <w:r>
              <w:rPr>
                <w:rFonts w:ascii="宋体" w:hAnsi="宋体" w:cs="宋体"/>
                <w:kern w:val="0"/>
                <w:sz w:val="20"/>
                <w:szCs w:val="20"/>
              </w:rPr>
              <w:t>H</w:t>
            </w:r>
            <w:r>
              <w:rPr>
                <w:rFonts w:hint="eastAsia" w:ascii="宋体" w:hAnsi="宋体" w:cs="宋体"/>
                <w:kern w:val="0"/>
                <w:sz w:val="20"/>
                <w:szCs w:val="20"/>
              </w:rPr>
              <w:t>股票投资</w:t>
            </w:r>
          </w:p>
        </w:tc>
        <w:tc>
          <w:tcPr>
            <w:tcW w:w="708" w:type="dxa"/>
            <w:vAlign w:val="center"/>
          </w:tcPr>
          <w:p w14:paraId="40A4D63D">
            <w:pPr>
              <w:widowControl/>
              <w:jc w:val="right"/>
              <w:rPr>
                <w:rFonts w:ascii="宋体" w:cs="宋体"/>
                <w:kern w:val="0"/>
                <w:sz w:val="20"/>
                <w:szCs w:val="20"/>
              </w:rPr>
            </w:pPr>
          </w:p>
        </w:tc>
      </w:tr>
      <w:tr w14:paraId="5916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616" w:type="dxa"/>
            <w:vAlign w:val="center"/>
          </w:tcPr>
          <w:p w14:paraId="2DAF9C5F">
            <w:pPr>
              <w:jc w:val="center"/>
              <w:rPr>
                <w:rFonts w:ascii="宋体" w:cs="宋体"/>
                <w:kern w:val="0"/>
                <w:sz w:val="20"/>
                <w:szCs w:val="20"/>
              </w:rPr>
            </w:pPr>
            <w:r>
              <w:rPr>
                <w:rFonts w:ascii="宋体" w:hAnsi="宋体" w:cs="宋体"/>
                <w:kern w:val="0"/>
                <w:sz w:val="20"/>
                <w:szCs w:val="20"/>
              </w:rPr>
              <w:t>10</w:t>
            </w:r>
          </w:p>
        </w:tc>
        <w:tc>
          <w:tcPr>
            <w:tcW w:w="13603" w:type="dxa"/>
            <w:gridSpan w:val="17"/>
            <w:vAlign w:val="center"/>
          </w:tcPr>
          <w:p w14:paraId="289F53B1">
            <w:pPr>
              <w:widowControl/>
              <w:ind w:firstLine="600" w:firstLineChars="300"/>
              <w:jc w:val="left"/>
              <w:rPr>
                <w:rFonts w:ascii="宋体" w:cs="宋体"/>
                <w:kern w:val="0"/>
                <w:sz w:val="20"/>
                <w:szCs w:val="20"/>
              </w:rPr>
            </w:pPr>
            <w:r>
              <w:rPr>
                <w:rFonts w:hint="eastAsia" w:ascii="宋体" w:hAnsi="宋体" w:cs="宋体"/>
                <w:kern w:val="0"/>
                <w:sz w:val="20"/>
                <w:szCs w:val="20"/>
              </w:rPr>
              <w:t>股票投资</w:t>
            </w:r>
            <w:r>
              <w:rPr>
                <w:rFonts w:ascii="宋体" w:hAnsi="宋体" w:cs="宋体"/>
                <w:kern w:val="0"/>
                <w:sz w:val="20"/>
                <w:szCs w:val="20"/>
              </w:rPr>
              <w:t>—</w:t>
            </w:r>
            <w:r>
              <w:rPr>
                <w:rFonts w:hint="eastAsia" w:ascii="宋体" w:hAnsi="宋体" w:cs="宋体"/>
                <w:kern w:val="0"/>
                <w:sz w:val="20"/>
                <w:szCs w:val="20"/>
              </w:rPr>
              <w:t>沪港通</w:t>
            </w:r>
            <w:r>
              <w:rPr>
                <w:rFonts w:ascii="宋体" w:hAnsi="宋体" w:cs="宋体"/>
                <w:kern w:val="0"/>
                <w:sz w:val="20"/>
                <w:szCs w:val="20"/>
              </w:rPr>
              <w:t>H</w:t>
            </w:r>
            <w:r>
              <w:rPr>
                <w:rFonts w:hint="eastAsia" w:ascii="宋体" w:hAnsi="宋体" w:cs="宋体"/>
                <w:kern w:val="0"/>
                <w:sz w:val="20"/>
                <w:szCs w:val="20"/>
              </w:rPr>
              <w:t>股</w:t>
            </w:r>
          </w:p>
        </w:tc>
        <w:tc>
          <w:tcPr>
            <w:tcW w:w="708" w:type="dxa"/>
            <w:vAlign w:val="center"/>
          </w:tcPr>
          <w:p w14:paraId="41AC8790">
            <w:pPr>
              <w:widowControl/>
              <w:jc w:val="right"/>
              <w:rPr>
                <w:rFonts w:ascii="宋体" w:cs="宋体"/>
                <w:kern w:val="0"/>
                <w:sz w:val="20"/>
                <w:szCs w:val="20"/>
              </w:rPr>
            </w:pPr>
          </w:p>
        </w:tc>
      </w:tr>
      <w:tr w14:paraId="40AF9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616" w:type="dxa"/>
            <w:vAlign w:val="center"/>
          </w:tcPr>
          <w:p w14:paraId="3A8A4C38">
            <w:pPr>
              <w:widowControl/>
              <w:jc w:val="center"/>
              <w:rPr>
                <w:rFonts w:ascii="宋体" w:cs="宋体"/>
                <w:kern w:val="0"/>
                <w:sz w:val="20"/>
                <w:szCs w:val="20"/>
              </w:rPr>
            </w:pPr>
            <w:r>
              <w:rPr>
                <w:rFonts w:ascii="宋体" w:hAnsi="宋体" w:cs="宋体"/>
                <w:kern w:val="0"/>
                <w:sz w:val="20"/>
                <w:szCs w:val="20"/>
              </w:rPr>
              <w:t>11</w:t>
            </w:r>
          </w:p>
        </w:tc>
        <w:tc>
          <w:tcPr>
            <w:tcW w:w="13603" w:type="dxa"/>
            <w:gridSpan w:val="17"/>
            <w:vAlign w:val="center"/>
          </w:tcPr>
          <w:p w14:paraId="730162FD">
            <w:pPr>
              <w:widowControl/>
              <w:ind w:firstLine="600" w:firstLineChars="300"/>
              <w:jc w:val="left"/>
              <w:rPr>
                <w:rFonts w:ascii="宋体" w:cs="宋体"/>
                <w:kern w:val="0"/>
                <w:sz w:val="20"/>
                <w:szCs w:val="20"/>
              </w:rPr>
            </w:pPr>
            <w:r>
              <w:rPr>
                <w:rFonts w:hint="eastAsia" w:ascii="宋体" w:hAnsi="宋体" w:cs="宋体"/>
                <w:kern w:val="0"/>
                <w:sz w:val="20"/>
                <w:szCs w:val="20"/>
              </w:rPr>
              <w:t>股票投资</w:t>
            </w:r>
            <w:r>
              <w:rPr>
                <w:rFonts w:ascii="宋体" w:hAnsi="宋体" w:cs="宋体"/>
                <w:kern w:val="0"/>
                <w:sz w:val="20"/>
                <w:szCs w:val="20"/>
              </w:rPr>
              <w:t>—</w:t>
            </w:r>
            <w:r>
              <w:rPr>
                <w:rFonts w:hint="eastAsia" w:ascii="宋体" w:hAnsi="宋体" w:cs="宋体"/>
                <w:kern w:val="0"/>
                <w:sz w:val="20"/>
                <w:szCs w:val="20"/>
              </w:rPr>
              <w:t>深港通</w:t>
            </w:r>
            <w:r>
              <w:rPr>
                <w:rFonts w:ascii="宋体" w:hAnsi="宋体" w:cs="宋体"/>
                <w:kern w:val="0"/>
                <w:sz w:val="20"/>
                <w:szCs w:val="20"/>
              </w:rPr>
              <w:t>H</w:t>
            </w:r>
            <w:r>
              <w:rPr>
                <w:rFonts w:hint="eastAsia" w:ascii="宋体" w:hAnsi="宋体" w:cs="宋体"/>
                <w:kern w:val="0"/>
                <w:sz w:val="20"/>
                <w:szCs w:val="20"/>
              </w:rPr>
              <w:t>股</w:t>
            </w:r>
          </w:p>
        </w:tc>
        <w:tc>
          <w:tcPr>
            <w:tcW w:w="708" w:type="dxa"/>
            <w:vAlign w:val="center"/>
          </w:tcPr>
          <w:p w14:paraId="68E340FB">
            <w:pPr>
              <w:widowControl/>
              <w:jc w:val="right"/>
              <w:rPr>
                <w:rFonts w:ascii="宋体" w:cs="宋体"/>
                <w:kern w:val="0"/>
                <w:sz w:val="20"/>
                <w:szCs w:val="20"/>
              </w:rPr>
            </w:pPr>
            <w:r>
              <w:rPr>
                <w:rFonts w:hint="eastAsia" w:ascii="宋体" w:hAnsi="宋体" w:cs="宋体"/>
                <w:kern w:val="0"/>
                <w:sz w:val="20"/>
                <w:szCs w:val="20"/>
              </w:rPr>
              <w:t>　</w:t>
            </w:r>
          </w:p>
        </w:tc>
      </w:tr>
      <w:tr w14:paraId="22E78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616" w:type="dxa"/>
            <w:vAlign w:val="center"/>
          </w:tcPr>
          <w:p w14:paraId="45061F20">
            <w:pPr>
              <w:widowControl/>
              <w:jc w:val="center"/>
              <w:rPr>
                <w:rFonts w:ascii="宋体" w:cs="宋体"/>
                <w:kern w:val="0"/>
                <w:sz w:val="20"/>
                <w:szCs w:val="20"/>
              </w:rPr>
            </w:pPr>
            <w:r>
              <w:rPr>
                <w:rFonts w:ascii="宋体" w:hAnsi="宋体" w:cs="宋体"/>
                <w:kern w:val="0"/>
                <w:sz w:val="20"/>
                <w:szCs w:val="20"/>
              </w:rPr>
              <w:t>12</w:t>
            </w:r>
          </w:p>
        </w:tc>
        <w:tc>
          <w:tcPr>
            <w:tcW w:w="13603" w:type="dxa"/>
            <w:gridSpan w:val="17"/>
            <w:vAlign w:val="center"/>
          </w:tcPr>
          <w:p w14:paraId="0B6EB53F">
            <w:pPr>
              <w:widowControl/>
              <w:ind w:firstLine="600" w:firstLineChars="300"/>
              <w:jc w:val="left"/>
              <w:rPr>
                <w:rFonts w:ascii="宋体" w:cs="宋体"/>
                <w:kern w:val="0"/>
                <w:sz w:val="20"/>
                <w:szCs w:val="20"/>
              </w:rPr>
            </w:pPr>
            <w:r>
              <w:rPr>
                <w:rFonts w:hint="eastAsia" w:ascii="宋体" w:hAnsi="宋体" w:cs="宋体"/>
                <w:kern w:val="0"/>
                <w:sz w:val="20"/>
                <w:szCs w:val="20"/>
              </w:rPr>
              <w:t>创新企业</w:t>
            </w:r>
            <w:r>
              <w:rPr>
                <w:rFonts w:ascii="宋体" w:hAnsi="宋体" w:cs="宋体"/>
                <w:kern w:val="0"/>
                <w:sz w:val="20"/>
                <w:szCs w:val="20"/>
              </w:rPr>
              <w:t xml:space="preserve">CDR </w:t>
            </w:r>
          </w:p>
        </w:tc>
        <w:tc>
          <w:tcPr>
            <w:tcW w:w="708" w:type="dxa"/>
            <w:vAlign w:val="center"/>
          </w:tcPr>
          <w:p w14:paraId="4351FD43">
            <w:pPr>
              <w:widowControl/>
              <w:jc w:val="right"/>
              <w:rPr>
                <w:rFonts w:ascii="宋体" w:cs="宋体"/>
                <w:kern w:val="0"/>
                <w:sz w:val="20"/>
                <w:szCs w:val="20"/>
              </w:rPr>
            </w:pPr>
          </w:p>
        </w:tc>
      </w:tr>
      <w:tr w14:paraId="08845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616" w:type="dxa"/>
            <w:tcBorders>
              <w:bottom w:val="single" w:color="auto" w:sz="12" w:space="0"/>
            </w:tcBorders>
            <w:vAlign w:val="center"/>
          </w:tcPr>
          <w:p w14:paraId="3B90E483">
            <w:pPr>
              <w:widowControl/>
              <w:jc w:val="center"/>
              <w:rPr>
                <w:rFonts w:ascii="宋体" w:cs="宋体"/>
                <w:kern w:val="0"/>
                <w:sz w:val="20"/>
                <w:szCs w:val="20"/>
              </w:rPr>
            </w:pPr>
            <w:r>
              <w:rPr>
                <w:rFonts w:ascii="宋体" w:hAnsi="宋体" w:cs="宋体"/>
                <w:kern w:val="0"/>
                <w:sz w:val="20"/>
                <w:szCs w:val="20"/>
              </w:rPr>
              <w:t>13</w:t>
            </w:r>
          </w:p>
        </w:tc>
        <w:tc>
          <w:tcPr>
            <w:tcW w:w="13603" w:type="dxa"/>
            <w:gridSpan w:val="17"/>
            <w:tcBorders>
              <w:bottom w:val="single" w:color="auto" w:sz="12" w:space="0"/>
            </w:tcBorders>
            <w:vAlign w:val="center"/>
          </w:tcPr>
          <w:p w14:paraId="08B74F0A">
            <w:pPr>
              <w:widowControl/>
              <w:ind w:firstLine="600" w:firstLineChars="300"/>
              <w:jc w:val="left"/>
              <w:rPr>
                <w:rFonts w:ascii="宋体" w:cs="宋体"/>
                <w:kern w:val="0"/>
                <w:sz w:val="20"/>
                <w:szCs w:val="20"/>
              </w:rPr>
            </w:pPr>
            <w:r>
              <w:rPr>
                <w:rFonts w:hint="eastAsia" w:ascii="宋体" w:hAnsi="宋体" w:cs="宋体"/>
                <w:kern w:val="0"/>
                <w:sz w:val="20"/>
                <w:szCs w:val="20"/>
              </w:rPr>
              <w:t>永续债</w:t>
            </w:r>
          </w:p>
        </w:tc>
        <w:tc>
          <w:tcPr>
            <w:tcW w:w="708" w:type="dxa"/>
            <w:tcBorders>
              <w:bottom w:val="single" w:color="auto" w:sz="12" w:space="0"/>
            </w:tcBorders>
            <w:vAlign w:val="center"/>
          </w:tcPr>
          <w:p w14:paraId="28CBD8E1">
            <w:pPr>
              <w:widowControl/>
              <w:jc w:val="right"/>
              <w:rPr>
                <w:rFonts w:ascii="宋体" w:cs="宋体"/>
                <w:kern w:val="0"/>
                <w:sz w:val="20"/>
                <w:szCs w:val="20"/>
              </w:rPr>
            </w:pPr>
          </w:p>
        </w:tc>
      </w:tr>
    </w:tbl>
    <w:p w14:paraId="4AC9FD12">
      <w:pPr>
        <w:pStyle w:val="56"/>
        <w:sectPr>
          <w:footerReference r:id="rId3" w:type="first"/>
          <w:pgSz w:w="16838" w:h="11906" w:orient="landscape"/>
          <w:pgMar w:top="1134" w:right="1418" w:bottom="1134" w:left="1418" w:header="851" w:footer="992" w:gutter="0"/>
          <w:cols w:space="720" w:num="1"/>
          <w:docGrid w:linePitch="312" w:charSpace="0"/>
        </w:sectPr>
      </w:pPr>
    </w:p>
    <w:p w14:paraId="70C53655">
      <w:pPr>
        <w:pStyle w:val="57"/>
        <w:spacing w:before="240" w:after="360"/>
      </w:pPr>
      <w:bookmarkStart w:id="1" w:name="_Toc24965058"/>
      <w:bookmarkStart w:id="2" w:name="_Toc499456600"/>
      <w:bookmarkStart w:id="3" w:name="_Toc393471114"/>
      <w:r>
        <w:t>A107011</w:t>
      </w:r>
      <w:r>
        <w:tab/>
      </w:r>
      <w:r>
        <w:rPr>
          <w:rFonts w:hint="eastAsia"/>
        </w:rPr>
        <w:t>《符合条件的居民企业之间的股息、红利等权益性投资收益优惠明细表》填报说明</w:t>
      </w:r>
      <w:bookmarkEnd w:id="1"/>
      <w:bookmarkEnd w:id="2"/>
      <w:bookmarkEnd w:id="3"/>
    </w:p>
    <w:p w14:paraId="42762CFF">
      <w:pPr>
        <w:spacing w:line="360" w:lineRule="auto"/>
        <w:ind w:firstLine="480" w:firstLineChars="200"/>
        <w:rPr>
          <w:rFonts w:hint="eastAsia" w:ascii="宋体" w:hAnsi="宋体"/>
          <w:color w:val="auto"/>
          <w:sz w:val="24"/>
        </w:rPr>
      </w:pPr>
      <w:r>
        <w:rPr>
          <w:rFonts w:hint="eastAsia" w:ascii="宋体" w:hAnsi="宋体"/>
          <w:color w:val="auto"/>
          <w:sz w:val="24"/>
        </w:rPr>
        <w:t>本表适用于享受符合条件的居民企业之间的股息、红利等权益性投资收益优惠的纳税人填报。纳税人根据税法、《财政部　国家税务总局关于企业清算业务企业所得税处理若干问题的通知》（财税〔</w:t>
      </w:r>
      <w:r>
        <w:rPr>
          <w:rFonts w:ascii="宋体" w:hAnsi="宋体"/>
          <w:color w:val="auto"/>
          <w:sz w:val="24"/>
        </w:rPr>
        <w:t>2009</w:t>
      </w:r>
      <w:r>
        <w:rPr>
          <w:rFonts w:hint="eastAsia" w:ascii="宋体" w:hAnsi="宋体"/>
          <w:color w:val="auto"/>
          <w:sz w:val="24"/>
        </w:rPr>
        <w:t>〕</w:t>
      </w:r>
      <w:r>
        <w:rPr>
          <w:rFonts w:ascii="宋体" w:hAnsi="宋体"/>
          <w:color w:val="auto"/>
          <w:sz w:val="24"/>
        </w:rPr>
        <w:t>60</w:t>
      </w:r>
      <w:r>
        <w:rPr>
          <w:rFonts w:hint="eastAsia" w:ascii="宋体" w:hAnsi="宋体"/>
          <w:color w:val="auto"/>
          <w:sz w:val="24"/>
        </w:rPr>
        <w:t>号）、《财政部　国家税务总局关于执行企业所得税优惠政策若干问题的通知》（财税〔</w:t>
      </w:r>
      <w:r>
        <w:rPr>
          <w:rFonts w:ascii="宋体" w:hAnsi="宋体"/>
          <w:color w:val="auto"/>
          <w:sz w:val="24"/>
        </w:rPr>
        <w:t>2009</w:t>
      </w:r>
      <w:r>
        <w:rPr>
          <w:rFonts w:hint="eastAsia" w:ascii="宋体" w:hAnsi="宋体"/>
          <w:color w:val="auto"/>
          <w:sz w:val="24"/>
        </w:rPr>
        <w:t>〕</w:t>
      </w:r>
      <w:r>
        <w:rPr>
          <w:rFonts w:ascii="宋体" w:hAnsi="宋体"/>
          <w:color w:val="auto"/>
          <w:sz w:val="24"/>
        </w:rPr>
        <w:t>69</w:t>
      </w:r>
      <w:r>
        <w:rPr>
          <w:rFonts w:hint="eastAsia" w:ascii="宋体" w:hAnsi="宋体"/>
          <w:color w:val="auto"/>
          <w:sz w:val="24"/>
        </w:rPr>
        <w:t>号）、《国家税务总局关于贯彻落实企业所得税法若干税收问题的通知》（国税函〔</w:t>
      </w:r>
      <w:r>
        <w:rPr>
          <w:rFonts w:ascii="宋体" w:hAnsi="宋体"/>
          <w:color w:val="auto"/>
          <w:sz w:val="24"/>
        </w:rPr>
        <w:t>2010</w:t>
      </w:r>
      <w:r>
        <w:rPr>
          <w:rFonts w:hint="eastAsia" w:ascii="宋体" w:hAnsi="宋体"/>
          <w:color w:val="auto"/>
          <w:sz w:val="24"/>
        </w:rPr>
        <w:t>〕</w:t>
      </w:r>
      <w:r>
        <w:rPr>
          <w:rFonts w:ascii="宋体" w:hAnsi="宋体"/>
          <w:color w:val="auto"/>
          <w:sz w:val="24"/>
        </w:rPr>
        <w:t>79</w:t>
      </w:r>
      <w:r>
        <w:rPr>
          <w:rFonts w:hint="eastAsia" w:ascii="宋体" w:hAnsi="宋体"/>
          <w:color w:val="auto"/>
          <w:sz w:val="24"/>
        </w:rPr>
        <w:t>号）、《国家税务总局关于企业所得税若干问题的公告》（</w:t>
      </w:r>
      <w:r>
        <w:rPr>
          <w:rFonts w:ascii="宋体" w:hAnsi="宋体"/>
          <w:color w:val="auto"/>
          <w:sz w:val="24"/>
        </w:rPr>
        <w:t>2011</w:t>
      </w:r>
      <w:r>
        <w:rPr>
          <w:rFonts w:hint="eastAsia" w:ascii="宋体" w:hAnsi="宋体"/>
          <w:color w:val="auto"/>
          <w:sz w:val="24"/>
        </w:rPr>
        <w:t>年第</w:t>
      </w:r>
      <w:r>
        <w:rPr>
          <w:rFonts w:ascii="宋体" w:hAnsi="宋体"/>
          <w:color w:val="auto"/>
          <w:sz w:val="24"/>
        </w:rPr>
        <w:t>34</w:t>
      </w:r>
      <w:r>
        <w:rPr>
          <w:rFonts w:hint="eastAsia" w:ascii="宋体" w:hAnsi="宋体"/>
          <w:color w:val="auto"/>
          <w:sz w:val="24"/>
        </w:rPr>
        <w:t>号）、《财政部</w:t>
      </w:r>
      <w:r>
        <w:rPr>
          <w:rFonts w:ascii="宋体" w:hAnsi="宋体"/>
          <w:color w:val="auto"/>
          <w:sz w:val="24"/>
        </w:rPr>
        <w:t xml:space="preserve"> </w:t>
      </w:r>
      <w:r>
        <w:rPr>
          <w:rFonts w:hint="eastAsia" w:ascii="宋体" w:hAnsi="宋体"/>
          <w:color w:val="auto"/>
          <w:sz w:val="24"/>
        </w:rPr>
        <w:t>国家税务总局</w:t>
      </w:r>
      <w:r>
        <w:rPr>
          <w:rFonts w:ascii="宋体" w:hAnsi="宋体"/>
          <w:color w:val="auto"/>
          <w:sz w:val="24"/>
        </w:rPr>
        <w:t xml:space="preserve"> </w:t>
      </w:r>
      <w:r>
        <w:rPr>
          <w:rFonts w:hint="eastAsia" w:ascii="宋体" w:hAnsi="宋体"/>
          <w:color w:val="auto"/>
          <w:sz w:val="24"/>
        </w:rPr>
        <w:t>证监会关于沪港股票市场交易互联互通机制试点有关税收政策的通知》（财税〔</w:t>
      </w:r>
      <w:r>
        <w:rPr>
          <w:rFonts w:ascii="宋体" w:hAnsi="宋体"/>
          <w:color w:val="auto"/>
          <w:sz w:val="24"/>
        </w:rPr>
        <w:t>2014</w:t>
      </w:r>
      <w:r>
        <w:rPr>
          <w:rFonts w:hint="eastAsia" w:ascii="宋体" w:hAnsi="宋体"/>
          <w:color w:val="auto"/>
          <w:sz w:val="24"/>
        </w:rPr>
        <w:t>〕</w:t>
      </w:r>
      <w:r>
        <w:rPr>
          <w:rFonts w:ascii="宋体" w:hAnsi="宋体"/>
          <w:color w:val="auto"/>
          <w:sz w:val="24"/>
        </w:rPr>
        <w:t>81</w:t>
      </w:r>
      <w:r>
        <w:rPr>
          <w:rFonts w:hint="eastAsia" w:ascii="宋体" w:hAnsi="宋体"/>
          <w:color w:val="auto"/>
          <w:sz w:val="24"/>
        </w:rPr>
        <w:t>号）、《财政部</w:t>
      </w:r>
      <w:r>
        <w:rPr>
          <w:rFonts w:ascii="宋体" w:hAnsi="宋体"/>
          <w:color w:val="auto"/>
          <w:sz w:val="24"/>
        </w:rPr>
        <w:t xml:space="preserve"> </w:t>
      </w:r>
      <w:r>
        <w:rPr>
          <w:rFonts w:hint="eastAsia" w:ascii="宋体" w:hAnsi="宋体"/>
          <w:color w:val="auto"/>
          <w:sz w:val="24"/>
        </w:rPr>
        <w:t>国家税务总局</w:t>
      </w:r>
      <w:r>
        <w:rPr>
          <w:rFonts w:ascii="宋体" w:hAnsi="宋体"/>
          <w:color w:val="auto"/>
          <w:sz w:val="24"/>
        </w:rPr>
        <w:t xml:space="preserve"> </w:t>
      </w:r>
      <w:r>
        <w:rPr>
          <w:rFonts w:hint="eastAsia" w:ascii="宋体" w:hAnsi="宋体"/>
          <w:color w:val="auto"/>
          <w:sz w:val="24"/>
        </w:rPr>
        <w:t>证监会关于深港股票市场交易互联互通机制试点有关税收政策的通知》（财税〔</w:t>
      </w:r>
      <w:r>
        <w:rPr>
          <w:rFonts w:ascii="宋体" w:hAnsi="宋体"/>
          <w:color w:val="auto"/>
          <w:sz w:val="24"/>
        </w:rPr>
        <w:t>2016</w:t>
      </w:r>
      <w:r>
        <w:rPr>
          <w:rFonts w:hint="eastAsia" w:ascii="宋体" w:hAnsi="宋体"/>
          <w:color w:val="auto"/>
          <w:sz w:val="24"/>
        </w:rPr>
        <w:t>〕</w:t>
      </w:r>
      <w:r>
        <w:rPr>
          <w:rFonts w:ascii="宋体" w:hAnsi="宋体"/>
          <w:color w:val="auto"/>
          <w:sz w:val="24"/>
        </w:rPr>
        <w:t>127</w:t>
      </w:r>
      <w:r>
        <w:rPr>
          <w:rFonts w:hint="eastAsia" w:ascii="宋体" w:hAnsi="宋体"/>
          <w:color w:val="auto"/>
          <w:sz w:val="24"/>
        </w:rPr>
        <w:t>号）、《财政部</w:t>
      </w:r>
      <w:r>
        <w:rPr>
          <w:rFonts w:ascii="宋体" w:hAnsi="宋体"/>
          <w:color w:val="auto"/>
          <w:sz w:val="24"/>
        </w:rPr>
        <w:t xml:space="preserve"> </w:t>
      </w:r>
      <w:r>
        <w:rPr>
          <w:rFonts w:hint="eastAsia" w:ascii="宋体" w:hAnsi="宋体"/>
          <w:color w:val="auto"/>
          <w:sz w:val="24"/>
        </w:rPr>
        <w:t>税务总局</w:t>
      </w:r>
      <w:r>
        <w:rPr>
          <w:rFonts w:ascii="宋体" w:hAnsi="宋体"/>
          <w:color w:val="auto"/>
          <w:sz w:val="24"/>
        </w:rPr>
        <w:t xml:space="preserve"> </w:t>
      </w:r>
      <w:r>
        <w:rPr>
          <w:rFonts w:hint="eastAsia" w:ascii="宋体" w:hAnsi="宋体"/>
          <w:color w:val="auto"/>
          <w:sz w:val="24"/>
        </w:rPr>
        <w:t>证监会关于创新企业境内发行存托凭证试点阶段有关税收政策的公告》（</w:t>
      </w:r>
      <w:r>
        <w:rPr>
          <w:rFonts w:ascii="宋体" w:hAnsi="宋体"/>
          <w:color w:val="auto"/>
          <w:sz w:val="24"/>
        </w:rPr>
        <w:t>2019</w:t>
      </w:r>
      <w:r>
        <w:rPr>
          <w:rFonts w:hint="eastAsia" w:ascii="宋体" w:hAnsi="宋体"/>
          <w:color w:val="auto"/>
          <w:sz w:val="24"/>
        </w:rPr>
        <w:t>年第</w:t>
      </w:r>
      <w:r>
        <w:rPr>
          <w:rFonts w:ascii="宋体" w:hAnsi="宋体"/>
          <w:color w:val="auto"/>
          <w:sz w:val="24"/>
        </w:rPr>
        <w:t>52</w:t>
      </w:r>
      <w:r>
        <w:rPr>
          <w:rFonts w:hint="eastAsia" w:ascii="宋体" w:hAnsi="宋体"/>
          <w:color w:val="auto"/>
          <w:sz w:val="24"/>
        </w:rPr>
        <w:t>号）、《财政部</w:t>
      </w:r>
      <w:r>
        <w:rPr>
          <w:rFonts w:ascii="宋体" w:hAnsi="宋体"/>
          <w:color w:val="auto"/>
          <w:sz w:val="24"/>
        </w:rPr>
        <w:t xml:space="preserve"> </w:t>
      </w:r>
      <w:r>
        <w:rPr>
          <w:rFonts w:hint="eastAsia" w:ascii="宋体" w:hAnsi="宋体"/>
          <w:color w:val="auto"/>
          <w:sz w:val="24"/>
        </w:rPr>
        <w:t>税务总局关于永续债企业所得税政策问题的公告》（</w:t>
      </w:r>
      <w:r>
        <w:rPr>
          <w:rFonts w:ascii="宋体" w:hAnsi="宋体"/>
          <w:color w:val="auto"/>
          <w:sz w:val="24"/>
        </w:rPr>
        <w:t>2019</w:t>
      </w:r>
      <w:r>
        <w:rPr>
          <w:rFonts w:hint="eastAsia" w:ascii="宋体" w:hAnsi="宋体"/>
          <w:color w:val="auto"/>
          <w:sz w:val="24"/>
        </w:rPr>
        <w:t>年第</w:t>
      </w:r>
      <w:r>
        <w:rPr>
          <w:rFonts w:ascii="宋体" w:hAnsi="宋体"/>
          <w:color w:val="auto"/>
          <w:sz w:val="24"/>
        </w:rPr>
        <w:t>64</w:t>
      </w:r>
      <w:r>
        <w:rPr>
          <w:rFonts w:hint="eastAsia" w:ascii="宋体" w:hAnsi="宋体"/>
          <w:color w:val="auto"/>
          <w:sz w:val="24"/>
        </w:rPr>
        <w:t>号）等相关税收政策规定，填报本年发生的符合条件的居民企业之间的股息、红利（包括</w:t>
      </w:r>
      <w:r>
        <w:rPr>
          <w:rFonts w:ascii="宋体" w:hAnsi="宋体"/>
          <w:color w:val="auto"/>
          <w:sz w:val="24"/>
        </w:rPr>
        <w:t>H</w:t>
      </w:r>
      <w:r>
        <w:rPr>
          <w:rFonts w:hint="eastAsia" w:ascii="宋体" w:hAnsi="宋体"/>
          <w:color w:val="auto"/>
          <w:sz w:val="24"/>
        </w:rPr>
        <w:t>股）等权益性投资收益优惠情况，不包括连续持有居民企业公开发行并</w:t>
      </w:r>
      <w:r>
        <w:rPr>
          <w:rFonts w:hint="eastAsia" w:ascii="宋体" w:hAnsi="宋体" w:cs="宋体"/>
          <w:color w:val="auto"/>
          <w:sz w:val="24"/>
        </w:rPr>
        <w:t>上市</w:t>
      </w:r>
      <w:r>
        <w:rPr>
          <w:rFonts w:hint="eastAsia" w:ascii="宋体" w:hAnsi="宋体"/>
          <w:color w:val="auto"/>
          <w:sz w:val="24"/>
        </w:rPr>
        <w:t>流通的股票不足</w:t>
      </w:r>
      <w:r>
        <w:rPr>
          <w:rFonts w:ascii="宋体" w:hAnsi="宋体"/>
          <w:color w:val="auto"/>
          <w:sz w:val="24"/>
        </w:rPr>
        <w:t>12</w:t>
      </w:r>
      <w:r>
        <w:rPr>
          <w:rFonts w:hint="eastAsia" w:ascii="宋体" w:hAnsi="宋体"/>
          <w:color w:val="auto"/>
          <w:sz w:val="24"/>
        </w:rPr>
        <w:t>个月取得的投资收益。</w:t>
      </w:r>
    </w:p>
    <w:p w14:paraId="78FD2E6E">
      <w:pPr>
        <w:spacing w:line="360" w:lineRule="auto"/>
        <w:ind w:firstLine="482" w:firstLineChars="200"/>
        <w:jc w:val="left"/>
        <w:outlineLvl w:val="1"/>
        <w:rPr>
          <w:rFonts w:hint="eastAsia" w:ascii="宋体" w:hAnsi="宋体" w:cs="Calibri"/>
          <w:b/>
          <w:color w:val="auto"/>
          <w:sz w:val="24"/>
        </w:rPr>
      </w:pPr>
      <w:bookmarkStart w:id="4" w:name="_Toc21712276"/>
      <w:bookmarkStart w:id="5" w:name="_Toc24965059"/>
      <w:bookmarkStart w:id="6" w:name="_Toc21703754"/>
      <w:bookmarkStart w:id="7" w:name="_Toc21711238"/>
      <w:r>
        <w:rPr>
          <w:rFonts w:hint="eastAsia" w:ascii="宋体" w:hAnsi="宋体" w:cs="Calibri"/>
          <w:b/>
          <w:color w:val="auto"/>
          <w:sz w:val="24"/>
        </w:rPr>
        <w:t>一、有关项目填报说明</w:t>
      </w:r>
      <w:bookmarkEnd w:id="4"/>
      <w:bookmarkEnd w:id="5"/>
      <w:bookmarkEnd w:id="6"/>
      <w:bookmarkEnd w:id="7"/>
    </w:p>
    <w:p w14:paraId="1196BAF9">
      <w:pPr>
        <w:spacing w:line="360" w:lineRule="auto"/>
        <w:ind w:firstLine="480" w:firstLineChars="200"/>
        <w:outlineLvl w:val="2"/>
        <w:rPr>
          <w:rFonts w:hint="eastAsia" w:ascii="黑体" w:hAnsi="黑体" w:eastAsia="黑体" w:cs="黑体"/>
          <w:color w:val="auto"/>
          <w:sz w:val="24"/>
        </w:rPr>
      </w:pPr>
      <w:bookmarkStart w:id="8" w:name="_Toc24965060"/>
      <w:bookmarkStart w:id="9" w:name="_Toc21703755"/>
      <w:bookmarkStart w:id="10" w:name="_Toc21711239"/>
      <w:bookmarkStart w:id="11" w:name="_Toc21712277"/>
      <w:r>
        <w:rPr>
          <w:rFonts w:hint="eastAsia" w:ascii="黑体" w:hAnsi="黑体" w:eastAsia="黑体" w:cs="黑体"/>
          <w:color w:val="auto"/>
          <w:sz w:val="24"/>
        </w:rPr>
        <w:t>（一）行次填报</w:t>
      </w:r>
      <w:bookmarkEnd w:id="8"/>
      <w:bookmarkEnd w:id="9"/>
      <w:bookmarkEnd w:id="10"/>
      <w:bookmarkEnd w:id="11"/>
    </w:p>
    <w:p w14:paraId="48CAADF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行次根据投资企业名称和投资性质填报，可以根据情况增加。</w:t>
      </w:r>
    </w:p>
    <w:p w14:paraId="44135DDC">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第</w:t>
      </w:r>
      <w:r>
        <w:rPr>
          <w:rFonts w:ascii="宋体" w:hAnsi="宋体"/>
          <w:color w:val="auto"/>
          <w:sz w:val="24"/>
        </w:rPr>
        <w:t>8</w:t>
      </w:r>
      <w:r>
        <w:rPr>
          <w:rFonts w:hint="eastAsia" w:ascii="宋体" w:hAnsi="宋体"/>
          <w:color w:val="auto"/>
          <w:sz w:val="24"/>
        </w:rPr>
        <w:t>行“合计”：填报第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行的第</w:t>
      </w:r>
      <w:r>
        <w:rPr>
          <w:rFonts w:ascii="宋体" w:hAnsi="宋体"/>
          <w:color w:val="auto"/>
          <w:sz w:val="24"/>
        </w:rPr>
        <w:t>17</w:t>
      </w:r>
      <w:r>
        <w:rPr>
          <w:rFonts w:hint="eastAsia" w:ascii="宋体" w:hAnsi="宋体"/>
          <w:color w:val="auto"/>
          <w:sz w:val="24"/>
        </w:rPr>
        <w:t>列合计金额，若增行，根据增行后的情况合计。</w:t>
      </w:r>
    </w:p>
    <w:p w14:paraId="59A66F75">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第</w:t>
      </w:r>
      <w:r>
        <w:rPr>
          <w:rFonts w:ascii="宋体" w:hAnsi="宋体"/>
          <w:color w:val="auto"/>
          <w:sz w:val="24"/>
        </w:rPr>
        <w:t>9</w:t>
      </w:r>
      <w:r>
        <w:rPr>
          <w:rFonts w:hint="eastAsia" w:ascii="宋体" w:hAnsi="宋体"/>
          <w:color w:val="auto"/>
          <w:sz w:val="24"/>
        </w:rPr>
        <w:t>行“其中：直接或非</w:t>
      </w:r>
      <w:r>
        <w:rPr>
          <w:rFonts w:ascii="宋体" w:hAnsi="宋体"/>
          <w:color w:val="auto"/>
          <w:sz w:val="24"/>
        </w:rPr>
        <w:t>H</w:t>
      </w:r>
      <w:r>
        <w:rPr>
          <w:rFonts w:hint="eastAsia" w:ascii="宋体" w:hAnsi="宋体"/>
          <w:color w:val="auto"/>
          <w:sz w:val="24"/>
        </w:rPr>
        <w:t>股票投资”：填报第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1</w:t>
      </w:r>
      <w:r>
        <w:rPr>
          <w:rFonts w:hint="eastAsia" w:ascii="宋体" w:hAnsi="宋体"/>
          <w:color w:val="auto"/>
          <w:sz w:val="24"/>
        </w:rPr>
        <w:t>）直接投资”或“（</w:t>
      </w:r>
      <w:r>
        <w:rPr>
          <w:rFonts w:ascii="宋体" w:hAnsi="宋体"/>
          <w:color w:val="auto"/>
          <w:sz w:val="24"/>
        </w:rPr>
        <w:t>2</w:t>
      </w:r>
      <w:r>
        <w:rPr>
          <w:rFonts w:hint="eastAsia" w:ascii="宋体" w:hAnsi="宋体"/>
          <w:color w:val="auto"/>
          <w:sz w:val="24"/>
        </w:rPr>
        <w:t>）股票投资（不含</w:t>
      </w:r>
      <w:r>
        <w:rPr>
          <w:rFonts w:ascii="宋体" w:hAnsi="宋体"/>
          <w:color w:val="auto"/>
          <w:sz w:val="24"/>
        </w:rPr>
        <w:t>H</w:t>
      </w:r>
      <w:r>
        <w:rPr>
          <w:rFonts w:hint="eastAsia" w:ascii="宋体" w:hAnsi="宋体"/>
          <w:color w:val="auto"/>
          <w:sz w:val="24"/>
        </w:rPr>
        <w:t>股）”的行次，第</w:t>
      </w:r>
      <w:r>
        <w:rPr>
          <w:rFonts w:ascii="宋体" w:hAnsi="宋体"/>
          <w:color w:val="auto"/>
          <w:sz w:val="24"/>
        </w:rPr>
        <w:t>17</w:t>
      </w:r>
      <w:r>
        <w:rPr>
          <w:rFonts w:hint="eastAsia" w:ascii="宋体" w:hAnsi="宋体"/>
          <w:color w:val="auto"/>
          <w:sz w:val="24"/>
        </w:rPr>
        <w:t>列合计金额。</w:t>
      </w:r>
    </w:p>
    <w:p w14:paraId="51C2FE65">
      <w:pPr>
        <w:spacing w:line="360" w:lineRule="auto"/>
        <w:ind w:firstLine="480" w:firstLineChars="200"/>
        <w:rPr>
          <w:rFonts w:hint="eastAsia" w:ascii="宋体" w:hAnsi="宋体"/>
          <w:color w:val="auto"/>
          <w:sz w:val="24"/>
        </w:rPr>
      </w:pPr>
      <w:r>
        <w:rPr>
          <w:rFonts w:ascii="宋体" w:hAnsi="宋体"/>
          <w:color w:val="auto"/>
          <w:sz w:val="24"/>
        </w:rPr>
        <w:t>4.</w:t>
      </w:r>
      <w:r>
        <w:rPr>
          <w:rFonts w:hint="eastAsia" w:ascii="宋体" w:hAnsi="宋体"/>
          <w:color w:val="auto"/>
          <w:sz w:val="24"/>
        </w:rPr>
        <w:t>第</w:t>
      </w:r>
      <w:r>
        <w:rPr>
          <w:rFonts w:ascii="宋体" w:hAnsi="宋体"/>
          <w:color w:val="auto"/>
          <w:sz w:val="24"/>
        </w:rPr>
        <w:t>10</w:t>
      </w:r>
      <w:r>
        <w:rPr>
          <w:rFonts w:hint="eastAsia" w:ascii="宋体" w:hAnsi="宋体"/>
          <w:color w:val="auto"/>
          <w:sz w:val="24"/>
        </w:rPr>
        <w:t>行“股票投资</w:t>
      </w:r>
      <w:r>
        <w:rPr>
          <w:rFonts w:ascii="宋体" w:hAnsi="宋体"/>
          <w:color w:val="auto"/>
          <w:sz w:val="24"/>
        </w:rPr>
        <w:t>—</w:t>
      </w:r>
      <w:r>
        <w:rPr>
          <w:rFonts w:hint="eastAsia" w:ascii="宋体" w:hAnsi="宋体"/>
          <w:color w:val="auto"/>
          <w:sz w:val="24"/>
        </w:rPr>
        <w:t>沪港通</w:t>
      </w:r>
      <w:r>
        <w:rPr>
          <w:rFonts w:ascii="宋体" w:hAnsi="宋体"/>
          <w:color w:val="auto"/>
          <w:sz w:val="24"/>
        </w:rPr>
        <w:t>H</w:t>
      </w:r>
      <w:r>
        <w:rPr>
          <w:rFonts w:hint="eastAsia" w:ascii="宋体" w:hAnsi="宋体"/>
          <w:color w:val="auto"/>
          <w:sz w:val="24"/>
        </w:rPr>
        <w:t>股”：填报第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3</w:t>
      </w:r>
      <w:r>
        <w:rPr>
          <w:rFonts w:hint="eastAsia" w:ascii="宋体" w:hAnsi="宋体"/>
          <w:color w:val="auto"/>
          <w:sz w:val="24"/>
        </w:rPr>
        <w:t>）股票投资（沪港通</w:t>
      </w:r>
      <w:r>
        <w:rPr>
          <w:rFonts w:ascii="宋体" w:hAnsi="宋体"/>
          <w:color w:val="auto"/>
          <w:sz w:val="24"/>
        </w:rPr>
        <w:t>H</w:t>
      </w:r>
      <w:r>
        <w:rPr>
          <w:rFonts w:hint="eastAsia" w:ascii="宋体" w:hAnsi="宋体"/>
          <w:color w:val="auto"/>
          <w:sz w:val="24"/>
        </w:rPr>
        <w:t>股投资）”的行次，第</w:t>
      </w:r>
      <w:r>
        <w:rPr>
          <w:rFonts w:ascii="宋体" w:hAnsi="宋体"/>
          <w:color w:val="auto"/>
          <w:sz w:val="24"/>
        </w:rPr>
        <w:t>17</w:t>
      </w:r>
      <w:r>
        <w:rPr>
          <w:rFonts w:hint="eastAsia" w:ascii="宋体" w:hAnsi="宋体"/>
          <w:color w:val="auto"/>
          <w:sz w:val="24"/>
        </w:rPr>
        <w:t>列合计金额。</w:t>
      </w:r>
    </w:p>
    <w:p w14:paraId="796FDEFA">
      <w:pPr>
        <w:spacing w:line="360" w:lineRule="auto"/>
        <w:ind w:firstLine="480" w:firstLineChars="200"/>
        <w:rPr>
          <w:rFonts w:hint="eastAsia" w:ascii="宋体" w:hAnsi="宋体"/>
          <w:color w:val="auto"/>
          <w:sz w:val="24"/>
        </w:rPr>
      </w:pPr>
      <w:r>
        <w:rPr>
          <w:rFonts w:ascii="宋体" w:hAnsi="宋体"/>
          <w:color w:val="auto"/>
          <w:sz w:val="24"/>
        </w:rPr>
        <w:t>5.</w:t>
      </w:r>
      <w:r>
        <w:rPr>
          <w:rFonts w:hint="eastAsia" w:ascii="宋体" w:hAnsi="宋体"/>
          <w:color w:val="auto"/>
          <w:sz w:val="24"/>
        </w:rPr>
        <w:t>第</w:t>
      </w:r>
      <w:r>
        <w:rPr>
          <w:rFonts w:ascii="宋体" w:hAnsi="宋体"/>
          <w:color w:val="auto"/>
          <w:sz w:val="24"/>
        </w:rPr>
        <w:t>11</w:t>
      </w:r>
      <w:r>
        <w:rPr>
          <w:rFonts w:hint="eastAsia" w:ascii="宋体" w:hAnsi="宋体"/>
          <w:color w:val="auto"/>
          <w:sz w:val="24"/>
        </w:rPr>
        <w:t>行“股票投资</w:t>
      </w:r>
      <w:r>
        <w:rPr>
          <w:rFonts w:ascii="宋体" w:hAnsi="宋体"/>
          <w:color w:val="auto"/>
          <w:sz w:val="24"/>
        </w:rPr>
        <w:t>—</w:t>
      </w:r>
      <w:r>
        <w:rPr>
          <w:rFonts w:hint="eastAsia" w:ascii="宋体" w:hAnsi="宋体"/>
          <w:color w:val="auto"/>
          <w:sz w:val="24"/>
        </w:rPr>
        <w:t>深港通</w:t>
      </w:r>
      <w:r>
        <w:rPr>
          <w:rFonts w:ascii="宋体" w:hAnsi="宋体"/>
          <w:color w:val="auto"/>
          <w:sz w:val="24"/>
        </w:rPr>
        <w:t>H</w:t>
      </w:r>
      <w:r>
        <w:rPr>
          <w:rFonts w:hint="eastAsia" w:ascii="宋体" w:hAnsi="宋体"/>
          <w:color w:val="auto"/>
          <w:sz w:val="24"/>
        </w:rPr>
        <w:t>股”：填报第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4</w:t>
      </w:r>
      <w:r>
        <w:rPr>
          <w:rFonts w:hint="eastAsia" w:ascii="宋体" w:hAnsi="宋体"/>
          <w:color w:val="auto"/>
          <w:sz w:val="24"/>
        </w:rPr>
        <w:t>）股票投资（深港通</w:t>
      </w:r>
      <w:r>
        <w:rPr>
          <w:rFonts w:ascii="宋体" w:hAnsi="宋体"/>
          <w:color w:val="auto"/>
          <w:sz w:val="24"/>
        </w:rPr>
        <w:t>H</w:t>
      </w:r>
      <w:r>
        <w:rPr>
          <w:rFonts w:hint="eastAsia" w:ascii="宋体" w:hAnsi="宋体"/>
          <w:color w:val="auto"/>
          <w:sz w:val="24"/>
        </w:rPr>
        <w:t>股投资）”的行次，第</w:t>
      </w:r>
      <w:r>
        <w:rPr>
          <w:rFonts w:ascii="宋体" w:hAnsi="宋体"/>
          <w:color w:val="auto"/>
          <w:sz w:val="24"/>
        </w:rPr>
        <w:t>17</w:t>
      </w:r>
      <w:r>
        <w:rPr>
          <w:rFonts w:hint="eastAsia" w:ascii="宋体" w:hAnsi="宋体"/>
          <w:color w:val="auto"/>
          <w:sz w:val="24"/>
        </w:rPr>
        <w:t>列合计金额。</w:t>
      </w:r>
    </w:p>
    <w:p w14:paraId="5EFD7815">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第</w:t>
      </w:r>
      <w:r>
        <w:rPr>
          <w:rFonts w:ascii="宋体" w:hAnsi="宋体"/>
          <w:color w:val="auto"/>
          <w:sz w:val="24"/>
        </w:rPr>
        <w:t>12</w:t>
      </w:r>
      <w:r>
        <w:rPr>
          <w:rFonts w:hint="eastAsia" w:ascii="宋体" w:hAnsi="宋体"/>
          <w:color w:val="auto"/>
          <w:sz w:val="24"/>
        </w:rPr>
        <w:t>行“创新企业</w:t>
      </w:r>
      <w:r>
        <w:rPr>
          <w:rFonts w:ascii="宋体" w:hAnsi="宋体"/>
          <w:color w:val="auto"/>
          <w:sz w:val="24"/>
        </w:rPr>
        <w:t>CDR</w:t>
      </w:r>
      <w:r>
        <w:rPr>
          <w:rFonts w:hint="eastAsia" w:ascii="宋体" w:hAnsi="宋体"/>
          <w:color w:val="auto"/>
          <w:sz w:val="24"/>
        </w:rPr>
        <w:t>”：填报第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5</w:t>
      </w:r>
      <w:r>
        <w:rPr>
          <w:rFonts w:hint="eastAsia" w:ascii="宋体" w:hAnsi="宋体"/>
          <w:color w:val="auto"/>
          <w:sz w:val="24"/>
        </w:rPr>
        <w:t>）创新企业</w:t>
      </w:r>
      <w:r>
        <w:rPr>
          <w:rFonts w:ascii="宋体" w:hAnsi="宋体"/>
          <w:color w:val="auto"/>
          <w:sz w:val="24"/>
        </w:rPr>
        <w:t>CDR</w:t>
      </w:r>
      <w:r>
        <w:rPr>
          <w:rFonts w:hint="eastAsia" w:ascii="宋体" w:hAnsi="宋体"/>
          <w:color w:val="auto"/>
          <w:sz w:val="24"/>
        </w:rPr>
        <w:t>”的行次，第</w:t>
      </w:r>
      <w:r>
        <w:rPr>
          <w:rFonts w:ascii="宋体" w:hAnsi="宋体"/>
          <w:color w:val="auto"/>
          <w:sz w:val="24"/>
        </w:rPr>
        <w:t>17</w:t>
      </w:r>
      <w:r>
        <w:rPr>
          <w:rFonts w:hint="eastAsia" w:ascii="宋体" w:hAnsi="宋体"/>
          <w:color w:val="auto"/>
          <w:sz w:val="24"/>
        </w:rPr>
        <w:t>列合计金额。</w:t>
      </w:r>
    </w:p>
    <w:p w14:paraId="7D3A2888">
      <w:pPr>
        <w:spacing w:line="360" w:lineRule="auto"/>
        <w:ind w:firstLine="480" w:firstLineChars="200"/>
        <w:rPr>
          <w:rFonts w:hint="eastAsia" w:ascii="宋体" w:hAnsi="宋体"/>
          <w:color w:val="auto"/>
          <w:sz w:val="24"/>
        </w:rPr>
      </w:pPr>
      <w:r>
        <w:rPr>
          <w:rFonts w:ascii="宋体" w:hAnsi="宋体"/>
          <w:color w:val="auto"/>
          <w:sz w:val="24"/>
        </w:rPr>
        <w:t>7.</w:t>
      </w:r>
      <w:r>
        <w:rPr>
          <w:rFonts w:hint="eastAsia" w:ascii="宋体" w:hAnsi="宋体"/>
          <w:color w:val="auto"/>
          <w:sz w:val="24"/>
        </w:rPr>
        <w:t>第</w:t>
      </w:r>
      <w:r>
        <w:rPr>
          <w:rFonts w:ascii="宋体" w:hAnsi="宋体"/>
          <w:color w:val="auto"/>
          <w:sz w:val="24"/>
        </w:rPr>
        <w:t>13</w:t>
      </w:r>
      <w:r>
        <w:rPr>
          <w:rFonts w:hint="eastAsia" w:ascii="宋体" w:hAnsi="宋体"/>
          <w:color w:val="auto"/>
          <w:sz w:val="24"/>
        </w:rPr>
        <w:t>行“永续债”：填报第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6</w:t>
      </w:r>
      <w:r>
        <w:rPr>
          <w:rFonts w:hint="eastAsia" w:ascii="宋体" w:hAnsi="宋体"/>
          <w:color w:val="auto"/>
          <w:sz w:val="24"/>
        </w:rPr>
        <w:t>）永续债”的行次，第</w:t>
      </w:r>
      <w:r>
        <w:rPr>
          <w:rFonts w:ascii="宋体" w:hAnsi="宋体"/>
          <w:color w:val="auto"/>
          <w:sz w:val="24"/>
        </w:rPr>
        <w:t>17</w:t>
      </w:r>
      <w:r>
        <w:rPr>
          <w:rFonts w:hint="eastAsia" w:ascii="宋体" w:hAnsi="宋体"/>
          <w:color w:val="auto"/>
          <w:sz w:val="24"/>
        </w:rPr>
        <w:t>列合计金额。</w:t>
      </w:r>
    </w:p>
    <w:p w14:paraId="3850F4CE">
      <w:pPr>
        <w:spacing w:line="360" w:lineRule="auto"/>
        <w:ind w:firstLine="480" w:firstLineChars="200"/>
        <w:outlineLvl w:val="2"/>
        <w:rPr>
          <w:rFonts w:hint="eastAsia" w:ascii="黑体" w:hAnsi="黑体" w:eastAsia="黑体" w:cs="黑体"/>
          <w:color w:val="auto"/>
          <w:sz w:val="24"/>
        </w:rPr>
      </w:pPr>
      <w:bookmarkStart w:id="12" w:name="_Toc24965061"/>
      <w:bookmarkStart w:id="13" w:name="_Toc21711240"/>
      <w:bookmarkStart w:id="14" w:name="_Toc21703756"/>
      <w:bookmarkStart w:id="15" w:name="_Toc21712278"/>
      <w:r>
        <w:rPr>
          <w:rFonts w:hint="eastAsia" w:ascii="黑体" w:hAnsi="黑体" w:eastAsia="黑体" w:cs="黑体"/>
          <w:color w:val="auto"/>
          <w:sz w:val="24"/>
        </w:rPr>
        <w:t>（二）列次填报</w:t>
      </w:r>
      <w:bookmarkEnd w:id="12"/>
      <w:bookmarkEnd w:id="13"/>
      <w:bookmarkEnd w:id="14"/>
      <w:bookmarkEnd w:id="15"/>
    </w:p>
    <w:p w14:paraId="1DE7776D">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第</w:t>
      </w:r>
      <w:r>
        <w:rPr>
          <w:rFonts w:ascii="宋体" w:hAnsi="宋体"/>
          <w:color w:val="auto"/>
          <w:sz w:val="24"/>
        </w:rPr>
        <w:t>1</w:t>
      </w:r>
      <w:r>
        <w:rPr>
          <w:rFonts w:hint="eastAsia" w:ascii="宋体" w:hAnsi="宋体"/>
          <w:color w:val="auto"/>
          <w:sz w:val="24"/>
        </w:rPr>
        <w:t>列“被投资企业”：填报被投资企业名称。</w:t>
      </w:r>
    </w:p>
    <w:p w14:paraId="68F2A582">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第</w:t>
      </w:r>
      <w:r>
        <w:rPr>
          <w:rFonts w:ascii="宋体" w:hAnsi="宋体"/>
          <w:color w:val="auto"/>
          <w:sz w:val="24"/>
        </w:rPr>
        <w:t>2</w:t>
      </w:r>
      <w:r>
        <w:rPr>
          <w:rFonts w:hint="eastAsia" w:ascii="宋体" w:hAnsi="宋体"/>
          <w:color w:val="auto"/>
          <w:sz w:val="24"/>
        </w:rPr>
        <w:t>列“被投资企业统一社会信用代码（纳税人识别号）”：填报被投资企业</w:t>
      </w:r>
      <w:r>
        <w:rPr>
          <w:rFonts w:hint="eastAsia" w:ascii="宋体" w:hAnsi="宋体"/>
          <w:color w:val="auto"/>
          <w:sz w:val="24"/>
          <w:lang w:eastAsia="zh-CN"/>
        </w:rPr>
        <w:t>市场监管</w:t>
      </w:r>
      <w:r>
        <w:rPr>
          <w:rFonts w:hint="eastAsia" w:ascii="宋体" w:hAnsi="宋体"/>
          <w:color w:val="auto"/>
          <w:sz w:val="24"/>
        </w:rPr>
        <w:t>等部门核发的纳税人统一社会信用代码。未取得统一社会信用代码的，填报税务机关核发的纳税人识别号。</w:t>
      </w:r>
    </w:p>
    <w:p w14:paraId="543AED14">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第</w:t>
      </w:r>
      <w:r>
        <w:rPr>
          <w:rFonts w:ascii="宋体" w:hAnsi="宋体"/>
          <w:color w:val="auto"/>
          <w:sz w:val="24"/>
        </w:rPr>
        <w:t>3</w:t>
      </w:r>
      <w:r>
        <w:rPr>
          <w:rFonts w:hint="eastAsia" w:ascii="宋体" w:hAnsi="宋体"/>
          <w:color w:val="auto"/>
          <w:sz w:val="24"/>
        </w:rPr>
        <w:t>列“投资性质”：按选项填报：（</w:t>
      </w:r>
      <w:r>
        <w:rPr>
          <w:rFonts w:ascii="宋体" w:hAnsi="宋体"/>
          <w:color w:val="auto"/>
          <w:sz w:val="24"/>
        </w:rPr>
        <w:t>1</w:t>
      </w:r>
      <w:r>
        <w:rPr>
          <w:rFonts w:hint="eastAsia" w:ascii="宋体" w:hAnsi="宋体"/>
          <w:color w:val="auto"/>
          <w:sz w:val="24"/>
        </w:rPr>
        <w:t>）直接投资、（</w:t>
      </w:r>
      <w:r>
        <w:rPr>
          <w:rFonts w:ascii="宋体" w:hAnsi="宋体"/>
          <w:color w:val="auto"/>
          <w:sz w:val="24"/>
        </w:rPr>
        <w:t>2</w:t>
      </w:r>
      <w:r>
        <w:rPr>
          <w:rFonts w:hint="eastAsia" w:ascii="宋体" w:hAnsi="宋体"/>
          <w:color w:val="auto"/>
          <w:sz w:val="24"/>
        </w:rPr>
        <w:t>）股票投资（不含</w:t>
      </w:r>
      <w:r>
        <w:rPr>
          <w:rFonts w:ascii="宋体" w:hAnsi="宋体"/>
          <w:color w:val="auto"/>
          <w:sz w:val="24"/>
        </w:rPr>
        <w:t>H</w:t>
      </w:r>
      <w:r>
        <w:rPr>
          <w:rFonts w:hint="eastAsia" w:ascii="宋体" w:hAnsi="宋体"/>
          <w:color w:val="auto"/>
          <w:sz w:val="24"/>
        </w:rPr>
        <w:t>股）、（</w:t>
      </w:r>
      <w:r>
        <w:rPr>
          <w:rFonts w:ascii="宋体" w:hAnsi="宋体"/>
          <w:color w:val="auto"/>
          <w:sz w:val="24"/>
        </w:rPr>
        <w:t>3</w:t>
      </w:r>
      <w:r>
        <w:rPr>
          <w:rFonts w:hint="eastAsia" w:ascii="宋体" w:hAnsi="宋体"/>
          <w:color w:val="auto"/>
          <w:sz w:val="24"/>
        </w:rPr>
        <w:t>）股票投资（沪港通</w:t>
      </w:r>
      <w:r>
        <w:rPr>
          <w:rFonts w:ascii="宋体" w:hAnsi="宋体"/>
          <w:color w:val="auto"/>
          <w:sz w:val="24"/>
        </w:rPr>
        <w:t>H</w:t>
      </w:r>
      <w:r>
        <w:rPr>
          <w:rFonts w:hint="eastAsia" w:ascii="宋体" w:hAnsi="宋体"/>
          <w:color w:val="auto"/>
          <w:sz w:val="24"/>
        </w:rPr>
        <w:t>股投资）、（</w:t>
      </w:r>
      <w:r>
        <w:rPr>
          <w:rFonts w:ascii="宋体" w:hAnsi="宋体"/>
          <w:color w:val="auto"/>
          <w:sz w:val="24"/>
        </w:rPr>
        <w:t>4</w:t>
      </w:r>
      <w:r>
        <w:rPr>
          <w:rFonts w:hint="eastAsia" w:ascii="宋体" w:hAnsi="宋体"/>
          <w:color w:val="auto"/>
          <w:sz w:val="24"/>
        </w:rPr>
        <w:t>）股票投资（深港通</w:t>
      </w:r>
      <w:r>
        <w:rPr>
          <w:rFonts w:ascii="宋体" w:hAnsi="宋体"/>
          <w:color w:val="auto"/>
          <w:sz w:val="24"/>
        </w:rPr>
        <w:t>H</w:t>
      </w:r>
      <w:r>
        <w:rPr>
          <w:rFonts w:hint="eastAsia" w:ascii="宋体" w:hAnsi="宋体"/>
          <w:color w:val="auto"/>
          <w:sz w:val="24"/>
        </w:rPr>
        <w:t>股投资）、（</w:t>
      </w:r>
      <w:r>
        <w:rPr>
          <w:rFonts w:ascii="宋体" w:hAnsi="宋体"/>
          <w:color w:val="auto"/>
          <w:sz w:val="24"/>
        </w:rPr>
        <w:t>5</w:t>
      </w:r>
      <w:r>
        <w:rPr>
          <w:rFonts w:hint="eastAsia" w:ascii="宋体" w:hAnsi="宋体"/>
          <w:color w:val="auto"/>
          <w:sz w:val="24"/>
        </w:rPr>
        <w:t>）创新企业</w:t>
      </w:r>
      <w:r>
        <w:rPr>
          <w:rFonts w:ascii="宋体" w:hAnsi="宋体"/>
          <w:color w:val="auto"/>
          <w:sz w:val="24"/>
        </w:rPr>
        <w:t>CDR</w:t>
      </w:r>
      <w:r>
        <w:rPr>
          <w:rFonts w:hint="eastAsia" w:ascii="宋体" w:hAnsi="宋体"/>
          <w:color w:val="auto"/>
          <w:sz w:val="24"/>
        </w:rPr>
        <w:t>、（</w:t>
      </w:r>
      <w:r>
        <w:rPr>
          <w:rFonts w:ascii="宋体" w:hAnsi="宋体"/>
          <w:color w:val="auto"/>
          <w:sz w:val="24"/>
        </w:rPr>
        <w:t>6</w:t>
      </w:r>
      <w:r>
        <w:rPr>
          <w:rFonts w:hint="eastAsia" w:ascii="宋体" w:hAnsi="宋体"/>
          <w:color w:val="auto"/>
          <w:sz w:val="24"/>
        </w:rPr>
        <w:t>）永续债。</w:t>
      </w:r>
    </w:p>
    <w:p w14:paraId="73AE7D25">
      <w:pPr>
        <w:spacing w:line="360" w:lineRule="auto"/>
        <w:ind w:firstLine="480" w:firstLineChars="200"/>
        <w:rPr>
          <w:rFonts w:hint="eastAsia" w:ascii="宋体" w:hAnsi="宋体"/>
          <w:color w:val="auto"/>
          <w:sz w:val="24"/>
        </w:rPr>
      </w:pPr>
      <w:r>
        <w:rPr>
          <w:rFonts w:hint="eastAsia" w:ascii="宋体" w:hAnsi="宋体"/>
          <w:color w:val="auto"/>
          <w:sz w:val="24"/>
        </w:rPr>
        <w:t>符合财税〔</w:t>
      </w:r>
      <w:r>
        <w:rPr>
          <w:rFonts w:ascii="宋体" w:hAnsi="宋体"/>
          <w:color w:val="auto"/>
          <w:sz w:val="24"/>
        </w:rPr>
        <w:t>2014</w:t>
      </w:r>
      <w:r>
        <w:rPr>
          <w:rFonts w:hint="eastAsia" w:ascii="宋体" w:hAnsi="宋体"/>
          <w:color w:val="auto"/>
          <w:sz w:val="24"/>
        </w:rPr>
        <w:t>〕</w:t>
      </w:r>
      <w:r>
        <w:rPr>
          <w:rFonts w:ascii="宋体" w:hAnsi="宋体"/>
          <w:color w:val="auto"/>
          <w:sz w:val="24"/>
        </w:rPr>
        <w:t>81</w:t>
      </w:r>
      <w:r>
        <w:rPr>
          <w:rFonts w:hint="eastAsia" w:ascii="宋体" w:hAnsi="宋体"/>
          <w:color w:val="auto"/>
          <w:sz w:val="24"/>
        </w:rPr>
        <w:t>号文件第一条第（四）项第</w:t>
      </w:r>
      <w:r>
        <w:rPr>
          <w:rFonts w:ascii="宋体" w:hAnsi="宋体"/>
          <w:color w:val="auto"/>
          <w:sz w:val="24"/>
        </w:rPr>
        <w:t>1</w:t>
      </w:r>
      <w:r>
        <w:rPr>
          <w:rFonts w:hint="eastAsia" w:ascii="宋体" w:hAnsi="宋体"/>
          <w:color w:val="auto"/>
          <w:sz w:val="24"/>
        </w:rPr>
        <w:t>目规定，享受沪港通</w:t>
      </w:r>
      <w:r>
        <w:rPr>
          <w:rFonts w:ascii="宋体" w:hAnsi="宋体"/>
          <w:color w:val="auto"/>
          <w:sz w:val="24"/>
        </w:rPr>
        <w:t>H</w:t>
      </w:r>
      <w:r>
        <w:rPr>
          <w:rFonts w:hint="eastAsia" w:ascii="宋体" w:hAnsi="宋体"/>
          <w:color w:val="auto"/>
          <w:sz w:val="24"/>
        </w:rPr>
        <w:t>股股息红利免税政策的企业，选择“（</w:t>
      </w:r>
      <w:r>
        <w:rPr>
          <w:rFonts w:ascii="宋体" w:hAnsi="宋体"/>
          <w:color w:val="auto"/>
          <w:sz w:val="24"/>
        </w:rPr>
        <w:t>3</w:t>
      </w:r>
      <w:r>
        <w:rPr>
          <w:rFonts w:hint="eastAsia" w:ascii="宋体" w:hAnsi="宋体"/>
          <w:color w:val="auto"/>
          <w:sz w:val="24"/>
        </w:rPr>
        <w:t>）股票投资（沪港通</w:t>
      </w:r>
      <w:r>
        <w:rPr>
          <w:rFonts w:ascii="宋体" w:hAnsi="宋体"/>
          <w:color w:val="auto"/>
          <w:sz w:val="24"/>
        </w:rPr>
        <w:t>H</w:t>
      </w:r>
      <w:r>
        <w:rPr>
          <w:rFonts w:hint="eastAsia" w:ascii="宋体" w:hAnsi="宋体"/>
          <w:color w:val="auto"/>
          <w:sz w:val="24"/>
        </w:rPr>
        <w:t>股投资）”。</w:t>
      </w:r>
    </w:p>
    <w:p w14:paraId="5B9F2EC7">
      <w:pPr>
        <w:spacing w:line="360" w:lineRule="auto"/>
        <w:ind w:firstLine="480" w:firstLineChars="200"/>
        <w:rPr>
          <w:rFonts w:hint="eastAsia" w:ascii="宋体" w:hAnsi="宋体"/>
          <w:color w:val="auto"/>
          <w:sz w:val="24"/>
        </w:rPr>
      </w:pPr>
      <w:r>
        <w:rPr>
          <w:rFonts w:hint="eastAsia" w:ascii="宋体" w:hAnsi="宋体"/>
          <w:color w:val="auto"/>
          <w:sz w:val="24"/>
        </w:rPr>
        <w:t>符合财税〔</w:t>
      </w:r>
      <w:r>
        <w:rPr>
          <w:rFonts w:ascii="宋体" w:hAnsi="宋体"/>
          <w:color w:val="auto"/>
          <w:sz w:val="24"/>
        </w:rPr>
        <w:t>2016</w:t>
      </w:r>
      <w:r>
        <w:rPr>
          <w:rFonts w:hint="eastAsia" w:ascii="宋体" w:hAnsi="宋体"/>
          <w:color w:val="auto"/>
          <w:sz w:val="24"/>
        </w:rPr>
        <w:t>〕</w:t>
      </w:r>
      <w:r>
        <w:rPr>
          <w:rFonts w:ascii="宋体" w:hAnsi="宋体"/>
          <w:color w:val="auto"/>
          <w:sz w:val="24"/>
        </w:rPr>
        <w:t>127</w:t>
      </w:r>
      <w:r>
        <w:rPr>
          <w:rFonts w:hint="eastAsia" w:ascii="宋体" w:hAnsi="宋体"/>
          <w:color w:val="auto"/>
          <w:sz w:val="24"/>
        </w:rPr>
        <w:t>号文件第一条第</w:t>
      </w:r>
      <w:r>
        <w:rPr>
          <w:rFonts w:ascii="宋体" w:hAnsi="宋体"/>
          <w:color w:val="auto"/>
          <w:sz w:val="24"/>
        </w:rPr>
        <w:t>（</w:t>
      </w:r>
      <w:r>
        <w:rPr>
          <w:rFonts w:hint="eastAsia" w:ascii="宋体" w:hAnsi="宋体"/>
          <w:color w:val="auto"/>
          <w:sz w:val="24"/>
        </w:rPr>
        <w:t>四</w:t>
      </w:r>
      <w:r>
        <w:rPr>
          <w:rFonts w:ascii="宋体" w:hAnsi="宋体"/>
          <w:color w:val="auto"/>
          <w:sz w:val="24"/>
        </w:rPr>
        <w:t>）</w:t>
      </w:r>
      <w:r>
        <w:rPr>
          <w:rFonts w:hint="eastAsia" w:ascii="宋体" w:hAnsi="宋体"/>
          <w:color w:val="auto"/>
          <w:sz w:val="24"/>
        </w:rPr>
        <w:t>项第</w:t>
      </w:r>
      <w:r>
        <w:rPr>
          <w:rFonts w:ascii="宋体" w:hAnsi="宋体"/>
          <w:color w:val="auto"/>
          <w:sz w:val="24"/>
        </w:rPr>
        <w:t>1</w:t>
      </w:r>
      <w:r>
        <w:rPr>
          <w:rFonts w:hint="eastAsia" w:ascii="宋体" w:hAnsi="宋体"/>
          <w:color w:val="auto"/>
          <w:sz w:val="24"/>
        </w:rPr>
        <w:t>目规定，享受深港通</w:t>
      </w:r>
      <w:r>
        <w:rPr>
          <w:rFonts w:ascii="宋体" w:hAnsi="宋体"/>
          <w:color w:val="auto"/>
          <w:sz w:val="24"/>
        </w:rPr>
        <w:t>H</w:t>
      </w:r>
      <w:r>
        <w:rPr>
          <w:rFonts w:hint="eastAsia" w:ascii="宋体" w:hAnsi="宋体"/>
          <w:color w:val="auto"/>
          <w:sz w:val="24"/>
        </w:rPr>
        <w:t>股股息红利免税政策的企业，选择“（</w:t>
      </w:r>
      <w:r>
        <w:rPr>
          <w:rFonts w:ascii="宋体" w:hAnsi="宋体"/>
          <w:color w:val="auto"/>
          <w:sz w:val="24"/>
        </w:rPr>
        <w:t>4</w:t>
      </w:r>
      <w:r>
        <w:rPr>
          <w:rFonts w:hint="eastAsia" w:ascii="宋体" w:hAnsi="宋体"/>
          <w:color w:val="auto"/>
          <w:sz w:val="24"/>
        </w:rPr>
        <w:t>）股票投资（深港通</w:t>
      </w:r>
      <w:r>
        <w:rPr>
          <w:rFonts w:ascii="宋体" w:hAnsi="宋体"/>
          <w:color w:val="auto"/>
          <w:sz w:val="24"/>
        </w:rPr>
        <w:t>H</w:t>
      </w:r>
      <w:r>
        <w:rPr>
          <w:rFonts w:hint="eastAsia" w:ascii="宋体" w:hAnsi="宋体"/>
          <w:color w:val="auto"/>
          <w:sz w:val="24"/>
        </w:rPr>
        <w:t>股投资）”。</w:t>
      </w:r>
    </w:p>
    <w:p w14:paraId="2E4B1F8D">
      <w:pPr>
        <w:spacing w:line="360" w:lineRule="auto"/>
        <w:ind w:firstLine="480" w:firstLineChars="200"/>
        <w:rPr>
          <w:rFonts w:hint="eastAsia" w:ascii="宋体" w:hAnsi="宋体" w:cs="宋体"/>
          <w:color w:val="auto"/>
          <w:kern w:val="0"/>
          <w:sz w:val="24"/>
        </w:rPr>
      </w:pPr>
      <w:r>
        <w:rPr>
          <w:rFonts w:hint="eastAsia" w:ascii="宋体" w:hAnsi="宋体"/>
          <w:color w:val="auto"/>
          <w:sz w:val="24"/>
        </w:rPr>
        <w:t>符合《财政部</w:t>
      </w:r>
      <w:r>
        <w:rPr>
          <w:rFonts w:ascii="宋体" w:hAnsi="宋体"/>
          <w:color w:val="auto"/>
          <w:sz w:val="24"/>
        </w:rPr>
        <w:t xml:space="preserve"> </w:t>
      </w:r>
      <w:r>
        <w:rPr>
          <w:rFonts w:hint="eastAsia" w:ascii="宋体" w:hAnsi="宋体"/>
          <w:color w:val="auto"/>
          <w:sz w:val="24"/>
        </w:rPr>
        <w:t>税务总局</w:t>
      </w:r>
      <w:r>
        <w:rPr>
          <w:rFonts w:ascii="宋体" w:hAnsi="宋体"/>
          <w:color w:val="auto"/>
          <w:sz w:val="24"/>
        </w:rPr>
        <w:t xml:space="preserve"> </w:t>
      </w:r>
      <w:r>
        <w:rPr>
          <w:rFonts w:hint="eastAsia" w:ascii="宋体" w:hAnsi="宋体"/>
          <w:color w:val="auto"/>
          <w:sz w:val="24"/>
        </w:rPr>
        <w:t>证监会关于创新企业境内发行存托凭证试点阶段有关税收政策的公告》（</w:t>
      </w:r>
      <w:r>
        <w:rPr>
          <w:rFonts w:ascii="宋体" w:hAnsi="宋体"/>
          <w:color w:val="auto"/>
          <w:sz w:val="24"/>
        </w:rPr>
        <w:t>2019</w:t>
      </w:r>
      <w:r>
        <w:rPr>
          <w:rFonts w:hint="eastAsia" w:ascii="宋体" w:hAnsi="宋体"/>
          <w:color w:val="auto"/>
          <w:sz w:val="24"/>
        </w:rPr>
        <w:t>年第</w:t>
      </w:r>
      <w:r>
        <w:rPr>
          <w:rFonts w:ascii="宋体" w:hAnsi="宋体"/>
          <w:color w:val="auto"/>
          <w:sz w:val="24"/>
        </w:rPr>
        <w:t>52</w:t>
      </w:r>
      <w:r>
        <w:rPr>
          <w:rFonts w:hint="eastAsia" w:ascii="宋体" w:hAnsi="宋体"/>
          <w:color w:val="auto"/>
          <w:sz w:val="24"/>
        </w:rPr>
        <w:t>号）</w:t>
      </w:r>
      <w:r>
        <w:rPr>
          <w:rFonts w:hint="eastAsia" w:ascii="宋体" w:hAnsi="宋体" w:cs="宋体"/>
          <w:color w:val="auto"/>
          <w:kern w:val="0"/>
          <w:sz w:val="24"/>
        </w:rPr>
        <w:t>第二条第</w:t>
      </w:r>
      <w:r>
        <w:rPr>
          <w:rFonts w:ascii="宋体" w:hAnsi="宋体" w:cs="宋体"/>
          <w:color w:val="auto"/>
          <w:kern w:val="0"/>
          <w:sz w:val="24"/>
        </w:rPr>
        <w:t>1</w:t>
      </w:r>
      <w:r>
        <w:rPr>
          <w:rFonts w:hint="eastAsia" w:ascii="宋体" w:hAnsi="宋体" w:cs="宋体"/>
          <w:color w:val="auto"/>
          <w:kern w:val="0"/>
          <w:sz w:val="24"/>
        </w:rPr>
        <w:t>款规定，享受对持有创新企业</w:t>
      </w:r>
      <w:r>
        <w:rPr>
          <w:rFonts w:ascii="宋体" w:hAnsi="宋体" w:cs="宋体"/>
          <w:color w:val="auto"/>
          <w:kern w:val="0"/>
          <w:sz w:val="24"/>
        </w:rPr>
        <w:t>CDR</w:t>
      </w:r>
      <w:r>
        <w:rPr>
          <w:rFonts w:hint="eastAsia" w:ascii="宋体" w:hAnsi="宋体" w:cs="宋体"/>
          <w:color w:val="auto"/>
          <w:kern w:val="0"/>
          <w:sz w:val="24"/>
        </w:rPr>
        <w:t>取得的股息红利所得按规定免征企业所得税的，选择“</w:t>
      </w:r>
      <w:r>
        <w:rPr>
          <w:rFonts w:hint="eastAsia" w:ascii="宋体" w:hAnsi="宋体"/>
          <w:color w:val="auto"/>
          <w:sz w:val="24"/>
        </w:rPr>
        <w:t>（</w:t>
      </w:r>
      <w:r>
        <w:rPr>
          <w:rFonts w:ascii="宋体" w:hAnsi="宋体"/>
          <w:color w:val="auto"/>
          <w:sz w:val="24"/>
        </w:rPr>
        <w:t>5</w:t>
      </w:r>
      <w:r>
        <w:rPr>
          <w:rFonts w:hint="eastAsia" w:ascii="宋体" w:hAnsi="宋体"/>
          <w:color w:val="auto"/>
          <w:sz w:val="24"/>
        </w:rPr>
        <w:t>）创新企业</w:t>
      </w:r>
      <w:r>
        <w:rPr>
          <w:rFonts w:ascii="宋体" w:hAnsi="宋体"/>
          <w:color w:val="auto"/>
          <w:sz w:val="24"/>
        </w:rPr>
        <w:t>CDR</w:t>
      </w:r>
      <w:r>
        <w:rPr>
          <w:rFonts w:hint="eastAsia" w:ascii="宋体" w:hAnsi="宋体" w:cs="宋体"/>
          <w:color w:val="auto"/>
          <w:kern w:val="0"/>
          <w:sz w:val="24"/>
        </w:rPr>
        <w:t>”。</w:t>
      </w:r>
    </w:p>
    <w:p w14:paraId="4453AF8C">
      <w:pPr>
        <w:spacing w:line="360" w:lineRule="auto"/>
        <w:ind w:firstLine="480" w:firstLineChars="200"/>
        <w:rPr>
          <w:rFonts w:hint="eastAsia" w:ascii="宋体" w:hAnsi="宋体"/>
          <w:color w:val="auto"/>
          <w:sz w:val="24"/>
        </w:rPr>
      </w:pPr>
      <w:r>
        <w:rPr>
          <w:rFonts w:hint="eastAsia" w:ascii="宋体" w:hAnsi="宋体"/>
          <w:color w:val="auto"/>
          <w:sz w:val="24"/>
        </w:rPr>
        <w:t>符合《财政部</w:t>
      </w:r>
      <w:r>
        <w:rPr>
          <w:rFonts w:ascii="宋体" w:hAnsi="宋体"/>
          <w:color w:val="auto"/>
          <w:sz w:val="24"/>
        </w:rPr>
        <w:t xml:space="preserve"> </w:t>
      </w:r>
      <w:r>
        <w:rPr>
          <w:rFonts w:hint="eastAsia" w:ascii="宋体" w:hAnsi="宋体"/>
          <w:color w:val="auto"/>
          <w:sz w:val="24"/>
        </w:rPr>
        <w:t>税务总局关于永续债企业所得税政策问题的公告》（</w:t>
      </w:r>
      <w:r>
        <w:rPr>
          <w:rFonts w:ascii="宋体" w:hAnsi="宋体"/>
          <w:color w:val="auto"/>
          <w:sz w:val="24"/>
        </w:rPr>
        <w:t>2019</w:t>
      </w:r>
      <w:r>
        <w:rPr>
          <w:rFonts w:hint="eastAsia" w:ascii="宋体" w:hAnsi="宋体"/>
          <w:color w:val="auto"/>
          <w:sz w:val="24"/>
        </w:rPr>
        <w:t>年第</w:t>
      </w:r>
      <w:r>
        <w:rPr>
          <w:rFonts w:ascii="宋体" w:hAnsi="宋体"/>
          <w:color w:val="auto"/>
          <w:sz w:val="24"/>
        </w:rPr>
        <w:t>64</w:t>
      </w:r>
      <w:r>
        <w:rPr>
          <w:rFonts w:hint="eastAsia" w:ascii="宋体" w:hAnsi="宋体"/>
          <w:color w:val="auto"/>
          <w:sz w:val="24"/>
        </w:rPr>
        <w:t>号）第一条规定，享受永续债利息收入免征企业所得税的企业，选择“（</w:t>
      </w:r>
      <w:r>
        <w:rPr>
          <w:rFonts w:ascii="宋体" w:hAnsi="宋体"/>
          <w:color w:val="auto"/>
          <w:sz w:val="24"/>
        </w:rPr>
        <w:t>6</w:t>
      </w:r>
      <w:r>
        <w:rPr>
          <w:rFonts w:hint="eastAsia" w:ascii="宋体" w:hAnsi="宋体"/>
          <w:color w:val="auto"/>
          <w:sz w:val="24"/>
        </w:rPr>
        <w:t>）永续债”。</w:t>
      </w:r>
    </w:p>
    <w:p w14:paraId="523025EF">
      <w:pPr>
        <w:spacing w:line="360" w:lineRule="auto"/>
        <w:ind w:firstLine="480" w:firstLineChars="200"/>
        <w:rPr>
          <w:rFonts w:hint="eastAsia" w:ascii="宋体" w:hAnsi="宋体"/>
          <w:color w:val="auto"/>
          <w:sz w:val="24"/>
        </w:rPr>
      </w:pPr>
      <w:r>
        <w:rPr>
          <w:rFonts w:ascii="宋体" w:hAnsi="宋体"/>
          <w:color w:val="auto"/>
          <w:sz w:val="24"/>
        </w:rPr>
        <w:t>4.</w:t>
      </w:r>
      <w:r>
        <w:rPr>
          <w:rFonts w:hint="eastAsia" w:ascii="宋体" w:hAnsi="宋体"/>
          <w:color w:val="auto"/>
          <w:sz w:val="24"/>
        </w:rPr>
        <w:t>第</w:t>
      </w:r>
      <w:r>
        <w:rPr>
          <w:rFonts w:ascii="宋体" w:hAnsi="宋体"/>
          <w:color w:val="auto"/>
          <w:sz w:val="24"/>
        </w:rPr>
        <w:t>4</w:t>
      </w:r>
      <w:r>
        <w:rPr>
          <w:rFonts w:hint="eastAsia" w:ascii="宋体" w:hAnsi="宋体"/>
          <w:color w:val="auto"/>
          <w:sz w:val="24"/>
        </w:rPr>
        <w:t>列“投资成本”：填报纳税人投资于被投资企业的计税成本。</w:t>
      </w:r>
    </w:p>
    <w:p w14:paraId="19792FF7">
      <w:pPr>
        <w:spacing w:line="360" w:lineRule="auto"/>
        <w:ind w:firstLine="480" w:firstLineChars="200"/>
        <w:rPr>
          <w:rFonts w:hint="eastAsia" w:ascii="宋体" w:hAnsi="宋体"/>
          <w:color w:val="auto"/>
          <w:sz w:val="24"/>
        </w:rPr>
      </w:pPr>
      <w:r>
        <w:rPr>
          <w:rFonts w:ascii="宋体" w:hAnsi="宋体"/>
          <w:color w:val="auto"/>
          <w:sz w:val="24"/>
        </w:rPr>
        <w:t>5.</w:t>
      </w:r>
      <w:r>
        <w:rPr>
          <w:rFonts w:hint="eastAsia" w:ascii="宋体" w:hAnsi="宋体"/>
          <w:color w:val="auto"/>
          <w:sz w:val="24"/>
        </w:rPr>
        <w:t>第</w:t>
      </w:r>
      <w:r>
        <w:rPr>
          <w:rFonts w:ascii="宋体" w:hAnsi="宋体"/>
          <w:color w:val="auto"/>
          <w:sz w:val="24"/>
        </w:rPr>
        <w:t>5</w:t>
      </w:r>
      <w:r>
        <w:rPr>
          <w:rFonts w:hint="eastAsia" w:ascii="宋体" w:hAnsi="宋体"/>
          <w:color w:val="auto"/>
          <w:sz w:val="24"/>
        </w:rPr>
        <w:t>列“投资比例”：填报纳税人投资于被投资企业的股权比例。若购买公开发行股票的，此列可不填报。</w:t>
      </w:r>
    </w:p>
    <w:p w14:paraId="3AC90549">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第</w:t>
      </w:r>
      <w:r>
        <w:rPr>
          <w:rFonts w:ascii="宋体" w:hAnsi="宋体"/>
          <w:color w:val="auto"/>
          <w:sz w:val="24"/>
        </w:rPr>
        <w:t>6</w:t>
      </w:r>
      <w:r>
        <w:rPr>
          <w:rFonts w:hint="eastAsia" w:ascii="宋体" w:hAnsi="宋体"/>
          <w:color w:val="auto"/>
          <w:sz w:val="24"/>
        </w:rPr>
        <w:t>列“被投资企业做出利润分配或转股决定时间”：填报被投资企业做出利润分配或转股决定的时间。</w:t>
      </w:r>
    </w:p>
    <w:p w14:paraId="5EAA81D3">
      <w:pPr>
        <w:spacing w:line="360" w:lineRule="auto"/>
        <w:ind w:firstLine="480" w:firstLineChars="200"/>
        <w:rPr>
          <w:rFonts w:hint="eastAsia" w:ascii="宋体" w:hAnsi="宋体"/>
          <w:color w:val="auto"/>
          <w:sz w:val="24"/>
        </w:rPr>
      </w:pPr>
      <w:r>
        <w:rPr>
          <w:rFonts w:ascii="宋体" w:hAnsi="宋体"/>
          <w:color w:val="auto"/>
          <w:sz w:val="24"/>
        </w:rPr>
        <w:t>7.</w:t>
      </w:r>
      <w:r>
        <w:rPr>
          <w:rFonts w:hint="eastAsia" w:ascii="宋体" w:hAnsi="宋体"/>
          <w:color w:val="auto"/>
          <w:sz w:val="24"/>
        </w:rPr>
        <w:t>第</w:t>
      </w:r>
      <w:r>
        <w:rPr>
          <w:rFonts w:ascii="宋体" w:hAnsi="宋体"/>
          <w:color w:val="auto"/>
          <w:sz w:val="24"/>
        </w:rPr>
        <w:t>7</w:t>
      </w:r>
      <w:r>
        <w:rPr>
          <w:rFonts w:hint="eastAsia" w:ascii="宋体" w:hAnsi="宋体"/>
          <w:color w:val="auto"/>
          <w:sz w:val="24"/>
        </w:rPr>
        <w:t>列“依决定归属于本公司的股息、红利等权益性投资收益金额”：填报纳税人按照投资比例或者其他方法计算的，实际归属于本公司的股息、红利等权益性投资收益金额。若被投资企业将股权（票）溢价所形成的资本公积转为股本的，不作为投资方企业的股息、红利收入，投资方企业也不得增加该项长期投资的计税基础。</w:t>
      </w:r>
    </w:p>
    <w:p w14:paraId="4C85FC0B">
      <w:pPr>
        <w:spacing w:line="360" w:lineRule="auto"/>
        <w:ind w:firstLine="480" w:firstLineChars="200"/>
        <w:rPr>
          <w:rFonts w:hint="eastAsia" w:ascii="宋体" w:hAnsi="宋体"/>
          <w:color w:val="auto"/>
          <w:sz w:val="24"/>
        </w:rPr>
      </w:pPr>
      <w:r>
        <w:rPr>
          <w:rFonts w:ascii="宋体" w:hAnsi="宋体"/>
          <w:color w:val="auto"/>
          <w:sz w:val="24"/>
        </w:rPr>
        <w:t>8.</w:t>
      </w:r>
      <w:r>
        <w:rPr>
          <w:rFonts w:hint="eastAsia" w:ascii="宋体" w:hAnsi="宋体"/>
          <w:color w:val="auto"/>
          <w:sz w:val="24"/>
        </w:rPr>
        <w:t>第</w:t>
      </w:r>
      <w:r>
        <w:rPr>
          <w:rFonts w:ascii="宋体" w:hAnsi="宋体"/>
          <w:color w:val="auto"/>
          <w:sz w:val="24"/>
        </w:rPr>
        <w:t>8</w:t>
      </w:r>
      <w:r>
        <w:rPr>
          <w:rFonts w:hint="eastAsia" w:ascii="宋体" w:hAnsi="宋体"/>
          <w:color w:val="auto"/>
          <w:sz w:val="24"/>
        </w:rPr>
        <w:t>列“分得的被投资企业清算剩余资产”：填报纳税人分得的被投资企业清算后的剩余资产。</w:t>
      </w:r>
    </w:p>
    <w:p w14:paraId="723EEB21">
      <w:pPr>
        <w:spacing w:line="360" w:lineRule="auto"/>
        <w:ind w:firstLine="480" w:firstLineChars="200"/>
        <w:rPr>
          <w:rFonts w:hint="eastAsia" w:ascii="宋体" w:hAnsi="宋体"/>
          <w:color w:val="auto"/>
          <w:sz w:val="24"/>
        </w:rPr>
      </w:pPr>
      <w:r>
        <w:rPr>
          <w:rFonts w:ascii="宋体" w:hAnsi="宋体"/>
          <w:color w:val="auto"/>
          <w:sz w:val="24"/>
        </w:rPr>
        <w:t>9.</w:t>
      </w:r>
      <w:r>
        <w:rPr>
          <w:rFonts w:hint="eastAsia" w:ascii="宋体" w:hAnsi="宋体"/>
          <w:color w:val="auto"/>
          <w:sz w:val="24"/>
        </w:rPr>
        <w:t>第</w:t>
      </w:r>
      <w:r>
        <w:rPr>
          <w:rFonts w:ascii="宋体" w:hAnsi="宋体"/>
          <w:color w:val="auto"/>
          <w:sz w:val="24"/>
        </w:rPr>
        <w:t>9</w:t>
      </w:r>
      <w:r>
        <w:rPr>
          <w:rFonts w:hint="eastAsia" w:ascii="宋体" w:hAnsi="宋体"/>
          <w:color w:val="auto"/>
          <w:sz w:val="24"/>
        </w:rPr>
        <w:t>列“被清算企业累计未分配利润和累计盈余公积应享有部分”：填报被清算企业累计未分配利润和累计盈余公积中本企业应享有的金额。</w:t>
      </w:r>
    </w:p>
    <w:p w14:paraId="658CFD51">
      <w:pPr>
        <w:spacing w:line="360" w:lineRule="auto"/>
        <w:ind w:firstLine="480" w:firstLineChars="200"/>
        <w:rPr>
          <w:rFonts w:hint="eastAsia" w:ascii="宋体" w:hAnsi="宋体"/>
          <w:color w:val="auto"/>
          <w:sz w:val="24"/>
        </w:rPr>
      </w:pPr>
      <w:r>
        <w:rPr>
          <w:rFonts w:ascii="宋体" w:hAnsi="宋体"/>
          <w:color w:val="auto"/>
          <w:sz w:val="24"/>
        </w:rPr>
        <w:t>10.</w:t>
      </w:r>
      <w:r>
        <w:rPr>
          <w:rFonts w:hint="eastAsia" w:ascii="宋体" w:hAnsi="宋体"/>
          <w:color w:val="auto"/>
          <w:sz w:val="24"/>
        </w:rPr>
        <w:t>第</w:t>
      </w:r>
      <w:r>
        <w:rPr>
          <w:rFonts w:ascii="宋体" w:hAnsi="宋体"/>
          <w:color w:val="auto"/>
          <w:sz w:val="24"/>
        </w:rPr>
        <w:t>10</w:t>
      </w:r>
      <w:r>
        <w:rPr>
          <w:rFonts w:hint="eastAsia" w:ascii="宋体" w:hAnsi="宋体"/>
          <w:color w:val="auto"/>
          <w:sz w:val="24"/>
        </w:rPr>
        <w:t>列“应确认的股息所得”：填报第</w:t>
      </w:r>
      <w:r>
        <w:rPr>
          <w:rFonts w:hint="eastAsia" w:ascii="宋体" w:hAnsi="宋体"/>
          <w:color w:val="auto"/>
          <w:sz w:val="24"/>
          <w:lang w:val="en-US" w:eastAsia="zh-CN"/>
        </w:rPr>
        <w:t>8</w:t>
      </w:r>
      <w:r>
        <w:rPr>
          <w:rFonts w:hint="eastAsia" w:ascii="宋体" w:hAnsi="宋体"/>
          <w:color w:val="auto"/>
          <w:sz w:val="24"/>
        </w:rPr>
        <w:t>列与第</w:t>
      </w:r>
      <w:r>
        <w:rPr>
          <w:rFonts w:hint="eastAsia" w:ascii="宋体" w:hAnsi="宋体"/>
          <w:color w:val="auto"/>
          <w:sz w:val="24"/>
          <w:lang w:val="en-US" w:eastAsia="zh-CN"/>
        </w:rPr>
        <w:t>9</w:t>
      </w:r>
      <w:r>
        <w:rPr>
          <w:rFonts w:hint="eastAsia" w:ascii="宋体" w:hAnsi="宋体"/>
          <w:color w:val="auto"/>
          <w:sz w:val="24"/>
        </w:rPr>
        <w:t>列孰小值。</w:t>
      </w:r>
    </w:p>
    <w:p w14:paraId="758F6E4D">
      <w:pPr>
        <w:spacing w:line="360" w:lineRule="auto"/>
        <w:ind w:firstLine="480" w:firstLineChars="200"/>
        <w:rPr>
          <w:rFonts w:hint="eastAsia" w:ascii="宋体" w:hAnsi="宋体"/>
          <w:color w:val="auto"/>
          <w:sz w:val="24"/>
        </w:rPr>
      </w:pPr>
      <w:r>
        <w:rPr>
          <w:rFonts w:ascii="宋体" w:hAnsi="宋体"/>
          <w:color w:val="auto"/>
          <w:sz w:val="24"/>
        </w:rPr>
        <w:t>11.</w:t>
      </w:r>
      <w:r>
        <w:rPr>
          <w:rFonts w:hint="eastAsia" w:ascii="宋体" w:hAnsi="宋体"/>
          <w:color w:val="auto"/>
          <w:sz w:val="24"/>
        </w:rPr>
        <w:t>第</w:t>
      </w:r>
      <w:r>
        <w:rPr>
          <w:rFonts w:ascii="宋体" w:hAnsi="宋体"/>
          <w:color w:val="auto"/>
          <w:sz w:val="24"/>
        </w:rPr>
        <w:t>11</w:t>
      </w:r>
      <w:r>
        <w:rPr>
          <w:rFonts w:hint="eastAsia" w:ascii="宋体" w:hAnsi="宋体"/>
          <w:color w:val="auto"/>
          <w:sz w:val="24"/>
        </w:rPr>
        <w:t>列“从被投资企业撤回或减少投资取得的资产”：填报纳税人从被投资企业撤回或减少投资时取得的资产。</w:t>
      </w:r>
    </w:p>
    <w:p w14:paraId="12B745DF">
      <w:pPr>
        <w:spacing w:line="360" w:lineRule="auto"/>
        <w:ind w:firstLine="480" w:firstLineChars="200"/>
        <w:rPr>
          <w:rFonts w:hint="eastAsia" w:ascii="宋体" w:hAnsi="宋体"/>
          <w:color w:val="auto"/>
          <w:sz w:val="24"/>
        </w:rPr>
      </w:pPr>
      <w:r>
        <w:rPr>
          <w:rFonts w:ascii="宋体" w:hAnsi="宋体"/>
          <w:color w:val="auto"/>
          <w:sz w:val="24"/>
        </w:rPr>
        <w:t>12.</w:t>
      </w:r>
      <w:r>
        <w:rPr>
          <w:rFonts w:hint="eastAsia" w:ascii="宋体" w:hAnsi="宋体"/>
          <w:color w:val="auto"/>
          <w:sz w:val="24"/>
        </w:rPr>
        <w:t>第</w:t>
      </w:r>
      <w:r>
        <w:rPr>
          <w:rFonts w:ascii="宋体" w:hAnsi="宋体"/>
          <w:color w:val="auto"/>
          <w:sz w:val="24"/>
        </w:rPr>
        <w:t>12</w:t>
      </w:r>
      <w:r>
        <w:rPr>
          <w:rFonts w:hint="eastAsia" w:ascii="宋体" w:hAnsi="宋体"/>
          <w:color w:val="auto"/>
          <w:sz w:val="24"/>
        </w:rPr>
        <w:t>列“减少投资比例”：填报纳税人撤回或减少的投资额占投资方在被投资企业持有总投资比例。</w:t>
      </w:r>
    </w:p>
    <w:p w14:paraId="7BC45F89">
      <w:pPr>
        <w:spacing w:line="360" w:lineRule="auto"/>
        <w:ind w:firstLine="480" w:firstLineChars="200"/>
        <w:rPr>
          <w:rFonts w:hint="eastAsia" w:ascii="宋体" w:hAnsi="宋体"/>
          <w:color w:val="auto"/>
          <w:sz w:val="24"/>
        </w:rPr>
      </w:pPr>
      <w:r>
        <w:rPr>
          <w:rFonts w:ascii="宋体" w:hAnsi="宋体"/>
          <w:color w:val="auto"/>
          <w:sz w:val="24"/>
        </w:rPr>
        <w:t>13.</w:t>
      </w:r>
      <w:r>
        <w:rPr>
          <w:rFonts w:hint="eastAsia" w:ascii="宋体" w:hAnsi="宋体"/>
          <w:color w:val="auto"/>
          <w:sz w:val="24"/>
        </w:rPr>
        <w:t>第</w:t>
      </w:r>
      <w:r>
        <w:rPr>
          <w:rFonts w:ascii="宋体" w:hAnsi="宋体"/>
          <w:color w:val="auto"/>
          <w:sz w:val="24"/>
        </w:rPr>
        <w:t>13</w:t>
      </w:r>
      <w:r>
        <w:rPr>
          <w:rFonts w:hint="eastAsia" w:ascii="宋体" w:hAnsi="宋体"/>
          <w:color w:val="auto"/>
          <w:sz w:val="24"/>
        </w:rPr>
        <w:t>列“收回初始投资成本”：填报第</w:t>
      </w:r>
      <w:r>
        <w:rPr>
          <w:rFonts w:hint="eastAsia" w:ascii="宋体" w:hAnsi="宋体"/>
          <w:color w:val="auto"/>
          <w:sz w:val="24"/>
          <w:lang w:val="en-US" w:eastAsia="zh-CN"/>
        </w:rPr>
        <w:t>4</w:t>
      </w:r>
      <w:r>
        <w:rPr>
          <w:rFonts w:hint="eastAsia" w:ascii="宋体" w:hAnsi="宋体"/>
          <w:color w:val="auto"/>
          <w:sz w:val="24"/>
        </w:rPr>
        <w:t>×</w:t>
      </w:r>
      <w:r>
        <w:rPr>
          <w:rFonts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列的金额。</w:t>
      </w:r>
    </w:p>
    <w:p w14:paraId="0766A9A2">
      <w:pPr>
        <w:spacing w:line="360" w:lineRule="auto"/>
        <w:ind w:firstLine="480" w:firstLineChars="200"/>
        <w:rPr>
          <w:rFonts w:hint="eastAsia" w:ascii="宋体" w:hAnsi="宋体"/>
          <w:color w:val="auto"/>
          <w:sz w:val="24"/>
        </w:rPr>
      </w:pPr>
      <w:r>
        <w:rPr>
          <w:rFonts w:ascii="宋体" w:hAnsi="宋体"/>
          <w:color w:val="auto"/>
          <w:sz w:val="24"/>
        </w:rPr>
        <w:t>14.</w:t>
      </w:r>
      <w:r>
        <w:rPr>
          <w:rFonts w:hint="eastAsia" w:ascii="宋体" w:hAnsi="宋体"/>
          <w:color w:val="auto"/>
          <w:sz w:val="24"/>
        </w:rPr>
        <w:t>第</w:t>
      </w:r>
      <w:r>
        <w:rPr>
          <w:rFonts w:ascii="宋体" w:hAnsi="宋体"/>
          <w:color w:val="auto"/>
          <w:sz w:val="24"/>
        </w:rPr>
        <w:t>14</w:t>
      </w:r>
      <w:r>
        <w:rPr>
          <w:rFonts w:hint="eastAsia" w:ascii="宋体" w:hAnsi="宋体"/>
          <w:color w:val="auto"/>
          <w:sz w:val="24"/>
        </w:rPr>
        <w:t>列“取得资产中超过收回初始投资成本部分”：填报第</w:t>
      </w:r>
      <w:r>
        <w:rPr>
          <w:rFonts w:ascii="宋体" w:hAnsi="宋体"/>
          <w:color w:val="auto"/>
          <w:sz w:val="24"/>
        </w:rPr>
        <w:t>11－13</w:t>
      </w:r>
      <w:r>
        <w:rPr>
          <w:rFonts w:hint="eastAsia" w:ascii="宋体" w:hAnsi="宋体"/>
          <w:color w:val="auto"/>
          <w:sz w:val="24"/>
        </w:rPr>
        <w:t>列的余额。</w:t>
      </w:r>
    </w:p>
    <w:p w14:paraId="070E9494">
      <w:pPr>
        <w:spacing w:line="360" w:lineRule="auto"/>
        <w:ind w:firstLine="480" w:firstLineChars="200"/>
        <w:rPr>
          <w:rFonts w:hint="eastAsia" w:ascii="宋体" w:hAnsi="宋体"/>
          <w:color w:val="auto"/>
          <w:sz w:val="24"/>
        </w:rPr>
      </w:pPr>
      <w:r>
        <w:rPr>
          <w:rFonts w:ascii="宋体" w:hAnsi="宋体"/>
          <w:color w:val="auto"/>
          <w:sz w:val="24"/>
        </w:rPr>
        <w:t>15.</w:t>
      </w:r>
      <w:r>
        <w:rPr>
          <w:rFonts w:hint="eastAsia" w:ascii="宋体" w:hAnsi="宋体"/>
          <w:color w:val="auto"/>
          <w:sz w:val="24"/>
        </w:rPr>
        <w:t>第</w:t>
      </w:r>
      <w:r>
        <w:rPr>
          <w:rFonts w:ascii="宋体" w:hAnsi="宋体"/>
          <w:color w:val="auto"/>
          <w:sz w:val="24"/>
        </w:rPr>
        <w:t>15</w:t>
      </w:r>
      <w:r>
        <w:rPr>
          <w:rFonts w:hint="eastAsia" w:ascii="宋体" w:hAnsi="宋体"/>
          <w:color w:val="auto"/>
          <w:sz w:val="24"/>
        </w:rPr>
        <w:t>列“撤回或减少投资应享有被投资企业累计未分配利润和累计盈余公积”：填报被投资企业累计未分配利润和累计盈余公积按减少实收资本比例计算的部分。</w:t>
      </w:r>
    </w:p>
    <w:p w14:paraId="4FEC24BB">
      <w:pPr>
        <w:spacing w:line="360" w:lineRule="auto"/>
        <w:ind w:firstLine="480" w:firstLineChars="200"/>
        <w:rPr>
          <w:rFonts w:hint="eastAsia" w:ascii="宋体" w:hAnsi="宋体"/>
          <w:color w:val="auto"/>
          <w:sz w:val="24"/>
        </w:rPr>
      </w:pPr>
      <w:r>
        <w:rPr>
          <w:rFonts w:ascii="宋体" w:hAnsi="宋体"/>
          <w:color w:val="auto"/>
          <w:sz w:val="24"/>
        </w:rPr>
        <w:t>16.</w:t>
      </w:r>
      <w:r>
        <w:rPr>
          <w:rFonts w:hint="eastAsia" w:ascii="宋体" w:hAnsi="宋体"/>
          <w:color w:val="auto"/>
          <w:sz w:val="24"/>
        </w:rPr>
        <w:t>第</w:t>
      </w:r>
      <w:r>
        <w:rPr>
          <w:rFonts w:ascii="宋体" w:hAnsi="宋体"/>
          <w:color w:val="auto"/>
          <w:sz w:val="24"/>
        </w:rPr>
        <w:t>16</w:t>
      </w:r>
      <w:r>
        <w:rPr>
          <w:rFonts w:hint="eastAsia" w:ascii="宋体" w:hAnsi="宋体"/>
          <w:color w:val="auto"/>
          <w:sz w:val="24"/>
        </w:rPr>
        <w:t>列“应确认的股息所得”：填报第</w:t>
      </w:r>
      <w:r>
        <w:rPr>
          <w:rFonts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列与第</w:t>
      </w:r>
      <w:r>
        <w:rPr>
          <w:rFonts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列孰小值。</w:t>
      </w:r>
    </w:p>
    <w:p w14:paraId="72889AB3">
      <w:pPr>
        <w:spacing w:line="360" w:lineRule="auto"/>
        <w:ind w:firstLine="480" w:firstLineChars="200"/>
        <w:rPr>
          <w:rFonts w:hint="eastAsia" w:ascii="宋体" w:hAnsi="宋体"/>
          <w:color w:val="auto"/>
          <w:sz w:val="24"/>
        </w:rPr>
      </w:pPr>
      <w:r>
        <w:rPr>
          <w:rFonts w:ascii="宋体" w:hAnsi="宋体"/>
          <w:color w:val="auto"/>
          <w:sz w:val="24"/>
        </w:rPr>
        <w:t>17.</w:t>
      </w:r>
      <w:r>
        <w:rPr>
          <w:rFonts w:hint="eastAsia" w:ascii="宋体" w:hAnsi="宋体"/>
          <w:color w:val="auto"/>
          <w:sz w:val="24"/>
        </w:rPr>
        <w:t>第</w:t>
      </w:r>
      <w:r>
        <w:rPr>
          <w:rFonts w:ascii="宋体" w:hAnsi="宋体"/>
          <w:color w:val="auto"/>
          <w:sz w:val="24"/>
        </w:rPr>
        <w:t>17</w:t>
      </w:r>
      <w:r>
        <w:rPr>
          <w:rFonts w:hint="eastAsia" w:ascii="宋体" w:hAnsi="宋体"/>
          <w:color w:val="auto"/>
          <w:sz w:val="24"/>
        </w:rPr>
        <w:t>列“合计”：填报第</w:t>
      </w:r>
      <w:r>
        <w:rPr>
          <w:rFonts w:ascii="宋体" w:hAnsi="宋体"/>
          <w:color w:val="auto"/>
          <w:sz w:val="24"/>
        </w:rPr>
        <w:t>7＋10＋16</w:t>
      </w:r>
      <w:r>
        <w:rPr>
          <w:rFonts w:hint="eastAsia" w:ascii="宋体" w:hAnsi="宋体"/>
          <w:color w:val="auto"/>
          <w:sz w:val="24"/>
        </w:rPr>
        <w:t>列的合计金额。</w:t>
      </w:r>
    </w:p>
    <w:p w14:paraId="009A20E7">
      <w:pPr>
        <w:spacing w:line="360" w:lineRule="auto"/>
        <w:ind w:firstLine="482" w:firstLineChars="200"/>
        <w:jc w:val="left"/>
        <w:outlineLvl w:val="1"/>
        <w:rPr>
          <w:rFonts w:hint="eastAsia" w:ascii="宋体" w:hAnsi="宋体" w:cs="Calibri"/>
          <w:b/>
          <w:color w:val="auto"/>
          <w:sz w:val="24"/>
        </w:rPr>
      </w:pPr>
      <w:bookmarkStart w:id="16" w:name="_Toc24965062"/>
      <w:bookmarkStart w:id="17" w:name="_Toc21711241"/>
      <w:bookmarkStart w:id="18" w:name="_Toc21712279"/>
      <w:bookmarkStart w:id="19" w:name="_Toc21703757"/>
      <w:r>
        <w:rPr>
          <w:rFonts w:hint="eastAsia" w:ascii="宋体" w:hAnsi="宋体" w:cs="Calibri"/>
          <w:b/>
          <w:color w:val="auto"/>
          <w:sz w:val="24"/>
        </w:rPr>
        <w:t>二、表内、表间关系</w:t>
      </w:r>
      <w:bookmarkEnd w:id="16"/>
      <w:bookmarkEnd w:id="17"/>
      <w:bookmarkEnd w:id="18"/>
      <w:bookmarkEnd w:id="19"/>
    </w:p>
    <w:p w14:paraId="2536E41F">
      <w:pPr>
        <w:spacing w:line="360" w:lineRule="auto"/>
        <w:ind w:firstLine="480" w:firstLineChars="200"/>
        <w:outlineLvl w:val="2"/>
        <w:rPr>
          <w:rFonts w:hint="eastAsia" w:ascii="黑体" w:hAnsi="黑体" w:eastAsia="黑体" w:cs="黑体"/>
          <w:color w:val="auto"/>
          <w:sz w:val="24"/>
        </w:rPr>
      </w:pPr>
      <w:bookmarkStart w:id="20" w:name="_Toc21703758"/>
      <w:bookmarkStart w:id="21" w:name="_Toc21711242"/>
      <w:bookmarkStart w:id="22" w:name="_Toc21712280"/>
      <w:bookmarkStart w:id="23" w:name="_Toc24965063"/>
      <w:r>
        <w:rPr>
          <w:rFonts w:hint="eastAsia" w:ascii="黑体" w:hAnsi="黑体" w:eastAsia="黑体" w:cs="黑体"/>
          <w:color w:val="auto"/>
          <w:sz w:val="24"/>
        </w:rPr>
        <w:t>（一）表内关系</w:t>
      </w:r>
      <w:bookmarkEnd w:id="20"/>
      <w:bookmarkEnd w:id="21"/>
      <w:bookmarkEnd w:id="22"/>
      <w:bookmarkEnd w:id="23"/>
    </w:p>
    <w:p w14:paraId="5E9CD22C">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第10列＝第8列与第9列孰小值。</w:t>
      </w:r>
    </w:p>
    <w:p w14:paraId="0454348B">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第13列＝第4×12列。</w:t>
      </w:r>
    </w:p>
    <w:p w14:paraId="0FED2B58">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第14列＝第11－13列。</w:t>
      </w:r>
    </w:p>
    <w:p w14:paraId="7AC6E124">
      <w:pPr>
        <w:spacing w:line="360" w:lineRule="auto"/>
        <w:ind w:firstLine="480" w:firstLineChars="200"/>
        <w:rPr>
          <w:rFonts w:hint="eastAsia" w:ascii="宋体" w:hAnsi="宋体"/>
          <w:color w:val="auto"/>
          <w:sz w:val="24"/>
        </w:rPr>
      </w:pPr>
      <w:r>
        <w:rPr>
          <w:rFonts w:ascii="宋体" w:hAnsi="宋体"/>
          <w:color w:val="auto"/>
          <w:sz w:val="24"/>
        </w:rPr>
        <w:t>4.</w:t>
      </w:r>
      <w:r>
        <w:rPr>
          <w:rFonts w:hint="eastAsia" w:ascii="宋体" w:hAnsi="宋体"/>
          <w:color w:val="auto"/>
          <w:sz w:val="24"/>
        </w:rPr>
        <w:t>第16列＝第14列与第15列孰小值。</w:t>
      </w:r>
    </w:p>
    <w:p w14:paraId="7CC76800">
      <w:pPr>
        <w:spacing w:line="360" w:lineRule="auto"/>
        <w:ind w:firstLine="480" w:firstLineChars="200"/>
        <w:rPr>
          <w:rFonts w:hint="eastAsia" w:ascii="宋体" w:hAnsi="宋体"/>
          <w:color w:val="auto"/>
          <w:sz w:val="24"/>
        </w:rPr>
      </w:pPr>
      <w:r>
        <w:rPr>
          <w:rFonts w:ascii="宋体" w:hAnsi="宋体"/>
          <w:color w:val="auto"/>
          <w:sz w:val="24"/>
        </w:rPr>
        <w:t>5.</w:t>
      </w:r>
      <w:r>
        <w:rPr>
          <w:rFonts w:hint="eastAsia" w:ascii="宋体" w:hAnsi="宋体"/>
          <w:color w:val="auto"/>
          <w:sz w:val="24"/>
        </w:rPr>
        <w:t>第17列＝第7＋10＋16列。</w:t>
      </w:r>
    </w:p>
    <w:p w14:paraId="1303EE32">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第</w:t>
      </w:r>
      <w:r>
        <w:rPr>
          <w:rFonts w:ascii="宋体" w:hAnsi="宋体"/>
          <w:color w:val="auto"/>
          <w:sz w:val="24"/>
        </w:rPr>
        <w:t>8</w:t>
      </w:r>
      <w:r>
        <w:rPr>
          <w:rFonts w:hint="eastAsia" w:ascii="宋体" w:hAnsi="宋体"/>
          <w:color w:val="auto"/>
          <w:sz w:val="24"/>
        </w:rPr>
        <w:t>行（“合计”行）＝第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行第</w:t>
      </w:r>
      <w:r>
        <w:rPr>
          <w:rFonts w:ascii="宋体" w:hAnsi="宋体"/>
          <w:color w:val="auto"/>
          <w:sz w:val="24"/>
        </w:rPr>
        <w:t>17</w:t>
      </w:r>
      <w:r>
        <w:rPr>
          <w:rFonts w:hint="eastAsia" w:ascii="宋体" w:hAnsi="宋体"/>
          <w:color w:val="auto"/>
          <w:sz w:val="24"/>
        </w:rPr>
        <w:t>列合计。</w:t>
      </w:r>
    </w:p>
    <w:p w14:paraId="2E1D3CBB">
      <w:pPr>
        <w:spacing w:line="360" w:lineRule="auto"/>
        <w:ind w:firstLine="480" w:firstLineChars="200"/>
        <w:rPr>
          <w:rFonts w:hint="eastAsia" w:ascii="宋体" w:hAnsi="宋体"/>
          <w:color w:val="auto"/>
          <w:sz w:val="24"/>
        </w:rPr>
      </w:pPr>
      <w:r>
        <w:rPr>
          <w:rFonts w:ascii="宋体" w:hAnsi="宋体"/>
          <w:color w:val="auto"/>
          <w:sz w:val="24"/>
        </w:rPr>
        <w:t>7.</w:t>
      </w:r>
      <w:r>
        <w:rPr>
          <w:rFonts w:hint="eastAsia" w:ascii="宋体" w:hAnsi="宋体"/>
          <w:color w:val="auto"/>
          <w:sz w:val="24"/>
        </w:rPr>
        <w:t>第</w:t>
      </w:r>
      <w:r>
        <w:rPr>
          <w:rFonts w:ascii="宋体" w:hAnsi="宋体"/>
          <w:color w:val="auto"/>
          <w:sz w:val="24"/>
        </w:rPr>
        <w:t>9</w:t>
      </w:r>
      <w:r>
        <w:rPr>
          <w:rFonts w:hint="eastAsia" w:ascii="宋体" w:hAnsi="宋体"/>
          <w:color w:val="auto"/>
          <w:sz w:val="24"/>
        </w:rPr>
        <w:t>行（“直接投资或非</w:t>
      </w:r>
      <w:r>
        <w:rPr>
          <w:rFonts w:ascii="宋体" w:hAnsi="宋体"/>
          <w:color w:val="auto"/>
          <w:sz w:val="24"/>
        </w:rPr>
        <w:t>H</w:t>
      </w:r>
      <w:r>
        <w:rPr>
          <w:rFonts w:hint="eastAsia" w:ascii="宋体" w:hAnsi="宋体"/>
          <w:color w:val="auto"/>
          <w:sz w:val="24"/>
        </w:rPr>
        <w:t>股票投资”合计行）</w:t>
      </w:r>
      <w:r>
        <w:rPr>
          <w:rFonts w:ascii="宋体" w:hAnsi="宋体"/>
          <w:color w:val="auto"/>
          <w:sz w:val="24"/>
        </w:rPr>
        <w:t>=</w:t>
      </w:r>
      <w:r>
        <w:rPr>
          <w:rFonts w:hint="eastAsia" w:ascii="宋体" w:hAnsi="宋体"/>
          <w:color w:val="auto"/>
          <w:sz w:val="24"/>
        </w:rPr>
        <w:t>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行中，各行第</w:t>
      </w:r>
      <w:r>
        <w:rPr>
          <w:rFonts w:ascii="宋体" w:hAnsi="宋体"/>
          <w:color w:val="auto"/>
          <w:sz w:val="24"/>
        </w:rPr>
        <w:t>3</w:t>
      </w:r>
      <w:r>
        <w:rPr>
          <w:rFonts w:hint="eastAsia" w:ascii="宋体" w:hAnsi="宋体"/>
          <w:color w:val="auto"/>
          <w:sz w:val="24"/>
        </w:rPr>
        <w:t>列选择“（</w:t>
      </w:r>
      <w:r>
        <w:rPr>
          <w:rFonts w:ascii="宋体" w:hAnsi="宋体"/>
          <w:color w:val="auto"/>
          <w:sz w:val="24"/>
        </w:rPr>
        <w:t>1</w:t>
      </w:r>
      <w:r>
        <w:rPr>
          <w:rFonts w:hint="eastAsia" w:ascii="宋体" w:hAnsi="宋体"/>
          <w:color w:val="auto"/>
          <w:sz w:val="24"/>
        </w:rPr>
        <w:t>）直接投资”或“（</w:t>
      </w:r>
      <w:r>
        <w:rPr>
          <w:rFonts w:ascii="宋体" w:hAnsi="宋体"/>
          <w:color w:val="auto"/>
          <w:sz w:val="24"/>
        </w:rPr>
        <w:t>2</w:t>
      </w:r>
      <w:r>
        <w:rPr>
          <w:rFonts w:hint="eastAsia" w:ascii="宋体" w:hAnsi="宋体"/>
          <w:color w:val="auto"/>
          <w:sz w:val="24"/>
        </w:rPr>
        <w:t>）股票投资（不含</w:t>
      </w:r>
      <w:r>
        <w:rPr>
          <w:rFonts w:ascii="宋体" w:hAnsi="宋体"/>
          <w:color w:val="auto"/>
          <w:sz w:val="24"/>
        </w:rPr>
        <w:t>H</w:t>
      </w:r>
      <w:r>
        <w:rPr>
          <w:rFonts w:hint="eastAsia" w:ascii="宋体" w:hAnsi="宋体"/>
          <w:color w:val="auto"/>
          <w:sz w:val="24"/>
        </w:rPr>
        <w:t>股）”的行次第</w:t>
      </w:r>
      <w:r>
        <w:rPr>
          <w:rFonts w:ascii="宋体" w:hAnsi="宋体"/>
          <w:color w:val="auto"/>
          <w:sz w:val="24"/>
        </w:rPr>
        <w:t>17</w:t>
      </w:r>
      <w:r>
        <w:rPr>
          <w:rFonts w:hint="eastAsia" w:ascii="宋体" w:hAnsi="宋体"/>
          <w:color w:val="auto"/>
          <w:sz w:val="24"/>
        </w:rPr>
        <w:t>列合计金额。</w:t>
      </w:r>
    </w:p>
    <w:p w14:paraId="357F025F">
      <w:pPr>
        <w:spacing w:line="360" w:lineRule="auto"/>
        <w:ind w:firstLine="480" w:firstLineChars="200"/>
        <w:rPr>
          <w:rFonts w:hint="eastAsia" w:ascii="宋体" w:hAnsi="宋体"/>
          <w:color w:val="auto"/>
          <w:sz w:val="24"/>
        </w:rPr>
      </w:pPr>
      <w:r>
        <w:rPr>
          <w:rFonts w:ascii="宋体" w:hAnsi="宋体"/>
          <w:color w:val="auto"/>
          <w:sz w:val="24"/>
        </w:rPr>
        <w:t>8.</w:t>
      </w:r>
      <w:r>
        <w:rPr>
          <w:rFonts w:hint="eastAsia" w:ascii="宋体" w:hAnsi="宋体"/>
          <w:color w:val="auto"/>
          <w:sz w:val="24"/>
        </w:rPr>
        <w:t>第</w:t>
      </w:r>
      <w:r>
        <w:rPr>
          <w:rFonts w:ascii="宋体" w:hAnsi="宋体"/>
          <w:color w:val="auto"/>
          <w:sz w:val="24"/>
        </w:rPr>
        <w:t>10</w:t>
      </w:r>
      <w:r>
        <w:rPr>
          <w:rFonts w:hint="eastAsia" w:ascii="宋体" w:hAnsi="宋体"/>
          <w:color w:val="auto"/>
          <w:sz w:val="24"/>
        </w:rPr>
        <w:t>行（“股票投资</w:t>
      </w:r>
      <w:r>
        <w:rPr>
          <w:rFonts w:ascii="宋体" w:hAnsi="宋体"/>
          <w:color w:val="auto"/>
          <w:sz w:val="24"/>
        </w:rPr>
        <w:t>—</w:t>
      </w:r>
      <w:r>
        <w:rPr>
          <w:rFonts w:hint="eastAsia" w:ascii="宋体" w:hAnsi="宋体"/>
          <w:color w:val="auto"/>
          <w:sz w:val="24"/>
        </w:rPr>
        <w:t>沪港通</w:t>
      </w:r>
      <w:r>
        <w:rPr>
          <w:rFonts w:ascii="宋体" w:hAnsi="宋体"/>
          <w:color w:val="auto"/>
          <w:sz w:val="24"/>
        </w:rPr>
        <w:t>H</w:t>
      </w:r>
      <w:r>
        <w:rPr>
          <w:rFonts w:hint="eastAsia" w:ascii="宋体" w:hAnsi="宋体"/>
          <w:color w:val="auto"/>
          <w:sz w:val="24"/>
        </w:rPr>
        <w:t>股”合计行）＝第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行中，各行第</w:t>
      </w:r>
      <w:r>
        <w:rPr>
          <w:rFonts w:ascii="宋体" w:hAnsi="宋体"/>
          <w:color w:val="auto"/>
          <w:sz w:val="24"/>
        </w:rPr>
        <w:t>3</w:t>
      </w:r>
      <w:r>
        <w:rPr>
          <w:rFonts w:hint="eastAsia" w:ascii="宋体" w:hAnsi="宋体"/>
          <w:color w:val="auto"/>
          <w:sz w:val="24"/>
        </w:rPr>
        <w:t>列选择“（</w:t>
      </w:r>
      <w:r>
        <w:rPr>
          <w:rFonts w:ascii="宋体" w:hAnsi="宋体"/>
          <w:color w:val="auto"/>
          <w:sz w:val="24"/>
        </w:rPr>
        <w:t>3</w:t>
      </w:r>
      <w:r>
        <w:rPr>
          <w:rFonts w:hint="eastAsia" w:ascii="宋体" w:hAnsi="宋体"/>
          <w:color w:val="auto"/>
          <w:sz w:val="24"/>
        </w:rPr>
        <w:t>）股票投资（沪港通</w:t>
      </w:r>
      <w:r>
        <w:rPr>
          <w:rFonts w:ascii="宋体" w:hAnsi="宋体"/>
          <w:color w:val="auto"/>
          <w:sz w:val="24"/>
        </w:rPr>
        <w:t>H</w:t>
      </w:r>
      <w:r>
        <w:rPr>
          <w:rFonts w:hint="eastAsia" w:ascii="宋体" w:hAnsi="宋体"/>
          <w:color w:val="auto"/>
          <w:sz w:val="24"/>
        </w:rPr>
        <w:t>股投资）”的行次第</w:t>
      </w:r>
      <w:r>
        <w:rPr>
          <w:rFonts w:ascii="宋体" w:hAnsi="宋体"/>
          <w:color w:val="auto"/>
          <w:sz w:val="24"/>
        </w:rPr>
        <w:t>17</w:t>
      </w:r>
      <w:r>
        <w:rPr>
          <w:rFonts w:hint="eastAsia" w:ascii="宋体" w:hAnsi="宋体"/>
          <w:color w:val="auto"/>
          <w:sz w:val="24"/>
        </w:rPr>
        <w:t>列合计金额。</w:t>
      </w:r>
    </w:p>
    <w:p w14:paraId="1856D750">
      <w:pPr>
        <w:spacing w:line="360" w:lineRule="auto"/>
        <w:ind w:firstLine="480" w:firstLineChars="200"/>
        <w:rPr>
          <w:rFonts w:hint="eastAsia" w:ascii="宋体" w:hAnsi="宋体"/>
          <w:color w:val="auto"/>
          <w:sz w:val="24"/>
        </w:rPr>
      </w:pPr>
      <w:r>
        <w:rPr>
          <w:rFonts w:ascii="宋体" w:hAnsi="宋体"/>
          <w:color w:val="auto"/>
          <w:sz w:val="24"/>
        </w:rPr>
        <w:t>9.</w:t>
      </w:r>
      <w:r>
        <w:rPr>
          <w:rFonts w:hint="eastAsia" w:ascii="宋体" w:hAnsi="宋体"/>
          <w:color w:val="auto"/>
          <w:sz w:val="24"/>
        </w:rPr>
        <w:t>第</w:t>
      </w:r>
      <w:r>
        <w:rPr>
          <w:rFonts w:ascii="宋体" w:hAnsi="宋体"/>
          <w:color w:val="auto"/>
          <w:sz w:val="24"/>
        </w:rPr>
        <w:t>11</w:t>
      </w:r>
      <w:r>
        <w:rPr>
          <w:rFonts w:hint="eastAsia" w:ascii="宋体" w:hAnsi="宋体"/>
          <w:color w:val="auto"/>
          <w:sz w:val="24"/>
        </w:rPr>
        <w:t>行（“股票投资</w:t>
      </w:r>
      <w:r>
        <w:rPr>
          <w:rFonts w:ascii="宋体" w:hAnsi="宋体"/>
          <w:color w:val="auto"/>
          <w:sz w:val="24"/>
        </w:rPr>
        <w:t>—</w:t>
      </w:r>
      <w:r>
        <w:rPr>
          <w:rFonts w:hint="eastAsia" w:ascii="宋体" w:hAnsi="宋体"/>
          <w:color w:val="auto"/>
          <w:sz w:val="24"/>
        </w:rPr>
        <w:t>深港通</w:t>
      </w:r>
      <w:r>
        <w:rPr>
          <w:rFonts w:ascii="宋体" w:hAnsi="宋体"/>
          <w:color w:val="auto"/>
          <w:sz w:val="24"/>
        </w:rPr>
        <w:t>H</w:t>
      </w:r>
      <w:r>
        <w:rPr>
          <w:rFonts w:hint="eastAsia" w:ascii="宋体" w:hAnsi="宋体"/>
          <w:color w:val="auto"/>
          <w:sz w:val="24"/>
        </w:rPr>
        <w:t>股”合计行）＝第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行中，各行第</w:t>
      </w:r>
      <w:r>
        <w:rPr>
          <w:rFonts w:ascii="宋体" w:hAnsi="宋体"/>
          <w:color w:val="auto"/>
          <w:sz w:val="24"/>
        </w:rPr>
        <w:t>3</w:t>
      </w:r>
      <w:r>
        <w:rPr>
          <w:rFonts w:hint="eastAsia" w:ascii="宋体" w:hAnsi="宋体"/>
          <w:color w:val="auto"/>
          <w:sz w:val="24"/>
        </w:rPr>
        <w:t>列选择“（</w:t>
      </w:r>
      <w:r>
        <w:rPr>
          <w:rFonts w:ascii="宋体" w:hAnsi="宋体"/>
          <w:color w:val="auto"/>
          <w:sz w:val="24"/>
        </w:rPr>
        <w:t>4</w:t>
      </w:r>
      <w:r>
        <w:rPr>
          <w:rFonts w:hint="eastAsia" w:ascii="宋体" w:hAnsi="宋体"/>
          <w:color w:val="auto"/>
          <w:sz w:val="24"/>
        </w:rPr>
        <w:t>）股票投资（深港通</w:t>
      </w:r>
      <w:r>
        <w:rPr>
          <w:rFonts w:ascii="宋体" w:hAnsi="宋体"/>
          <w:color w:val="auto"/>
          <w:sz w:val="24"/>
        </w:rPr>
        <w:t>H</w:t>
      </w:r>
      <w:r>
        <w:rPr>
          <w:rFonts w:hint="eastAsia" w:ascii="宋体" w:hAnsi="宋体"/>
          <w:color w:val="auto"/>
          <w:sz w:val="24"/>
        </w:rPr>
        <w:t>股投资）”的行次第</w:t>
      </w:r>
      <w:r>
        <w:rPr>
          <w:rFonts w:ascii="宋体" w:hAnsi="宋体"/>
          <w:color w:val="auto"/>
          <w:sz w:val="24"/>
        </w:rPr>
        <w:t>17</w:t>
      </w:r>
      <w:r>
        <w:rPr>
          <w:rFonts w:hint="eastAsia" w:ascii="宋体" w:hAnsi="宋体"/>
          <w:color w:val="auto"/>
          <w:sz w:val="24"/>
        </w:rPr>
        <w:t>列合计金额。</w:t>
      </w:r>
    </w:p>
    <w:p w14:paraId="708F66F8">
      <w:pPr>
        <w:spacing w:line="360" w:lineRule="auto"/>
        <w:ind w:firstLine="480" w:firstLineChars="200"/>
        <w:rPr>
          <w:rFonts w:hint="eastAsia" w:ascii="宋体" w:hAnsi="宋体"/>
          <w:color w:val="auto"/>
          <w:sz w:val="24"/>
        </w:rPr>
      </w:pPr>
      <w:r>
        <w:rPr>
          <w:rFonts w:ascii="宋体" w:hAnsi="宋体"/>
          <w:color w:val="auto"/>
          <w:sz w:val="24"/>
        </w:rPr>
        <w:t xml:space="preserve">10. </w:t>
      </w:r>
      <w:r>
        <w:rPr>
          <w:rFonts w:hint="eastAsia" w:ascii="宋体" w:hAnsi="宋体"/>
          <w:color w:val="auto"/>
          <w:sz w:val="24"/>
        </w:rPr>
        <w:t>第</w:t>
      </w:r>
      <w:r>
        <w:rPr>
          <w:rFonts w:ascii="宋体" w:hAnsi="宋体"/>
          <w:color w:val="auto"/>
          <w:sz w:val="24"/>
        </w:rPr>
        <w:t>12</w:t>
      </w:r>
      <w:r>
        <w:rPr>
          <w:rFonts w:hint="eastAsia" w:ascii="宋体" w:hAnsi="宋体"/>
          <w:color w:val="auto"/>
          <w:sz w:val="24"/>
        </w:rPr>
        <w:t>行（“创新企业</w:t>
      </w:r>
      <w:r>
        <w:rPr>
          <w:rFonts w:ascii="宋体" w:hAnsi="宋体"/>
          <w:color w:val="auto"/>
          <w:sz w:val="24"/>
        </w:rPr>
        <w:t>CDR</w:t>
      </w:r>
      <w:r>
        <w:rPr>
          <w:rFonts w:hint="eastAsia" w:ascii="宋体" w:hAnsi="宋体"/>
          <w:color w:val="auto"/>
          <w:sz w:val="24"/>
        </w:rPr>
        <w:t>”合计行）</w:t>
      </w:r>
      <w:r>
        <w:rPr>
          <w:rFonts w:ascii="宋体" w:hAnsi="宋体"/>
          <w:color w:val="auto"/>
          <w:sz w:val="24"/>
        </w:rPr>
        <w:t>=</w:t>
      </w:r>
      <w:r>
        <w:rPr>
          <w:rFonts w:hint="eastAsia" w:ascii="宋体" w:hAnsi="宋体"/>
          <w:color w:val="auto"/>
          <w:sz w:val="24"/>
        </w:rPr>
        <w:t>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5</w:t>
      </w:r>
      <w:r>
        <w:rPr>
          <w:rFonts w:hint="eastAsia" w:ascii="宋体" w:hAnsi="宋体"/>
          <w:color w:val="auto"/>
          <w:sz w:val="24"/>
        </w:rPr>
        <w:t>）居民企业持有</w:t>
      </w:r>
      <w:r>
        <w:rPr>
          <w:rFonts w:ascii="宋体" w:hAnsi="宋体"/>
          <w:color w:val="auto"/>
          <w:sz w:val="24"/>
        </w:rPr>
        <w:t>CDR</w:t>
      </w:r>
      <w:r>
        <w:rPr>
          <w:rFonts w:hint="eastAsia" w:ascii="宋体" w:hAnsi="宋体"/>
          <w:color w:val="auto"/>
          <w:sz w:val="24"/>
        </w:rPr>
        <w:t>”的行次第</w:t>
      </w:r>
      <w:r>
        <w:rPr>
          <w:rFonts w:ascii="宋体" w:hAnsi="宋体"/>
          <w:color w:val="auto"/>
          <w:sz w:val="24"/>
        </w:rPr>
        <w:t>17</w:t>
      </w:r>
      <w:r>
        <w:rPr>
          <w:rFonts w:hint="eastAsia" w:ascii="宋体" w:hAnsi="宋体"/>
          <w:color w:val="auto"/>
          <w:sz w:val="24"/>
        </w:rPr>
        <w:t>列合计金额。</w:t>
      </w:r>
    </w:p>
    <w:p w14:paraId="15993B6A">
      <w:pPr>
        <w:spacing w:line="360" w:lineRule="auto"/>
        <w:ind w:firstLine="480" w:firstLineChars="200"/>
        <w:rPr>
          <w:rFonts w:hint="eastAsia" w:ascii="宋体" w:hAnsi="宋体"/>
          <w:color w:val="auto"/>
          <w:sz w:val="24"/>
        </w:rPr>
      </w:pPr>
      <w:r>
        <w:rPr>
          <w:rFonts w:ascii="宋体" w:hAnsi="宋体"/>
          <w:color w:val="auto"/>
          <w:sz w:val="24"/>
        </w:rPr>
        <w:t>11.</w:t>
      </w:r>
      <w:r>
        <w:rPr>
          <w:rFonts w:hint="eastAsia" w:ascii="宋体" w:hAnsi="宋体"/>
          <w:color w:val="auto"/>
          <w:sz w:val="24"/>
        </w:rPr>
        <w:t>第</w:t>
      </w:r>
      <w:r>
        <w:rPr>
          <w:rFonts w:ascii="宋体" w:hAnsi="宋体"/>
          <w:color w:val="auto"/>
          <w:sz w:val="24"/>
        </w:rPr>
        <w:t>13</w:t>
      </w:r>
      <w:r>
        <w:rPr>
          <w:rFonts w:hint="eastAsia" w:ascii="宋体" w:hAnsi="宋体"/>
          <w:color w:val="auto"/>
          <w:sz w:val="24"/>
        </w:rPr>
        <w:t>行（“永续债”合计行）</w:t>
      </w:r>
      <w:r>
        <w:rPr>
          <w:rFonts w:ascii="宋体" w:hAnsi="宋体"/>
          <w:color w:val="auto"/>
          <w:sz w:val="24"/>
        </w:rPr>
        <w:t>=</w:t>
      </w:r>
      <w:r>
        <w:rPr>
          <w:rFonts w:hint="eastAsia" w:ascii="宋体" w:hAnsi="宋体"/>
          <w:color w:val="auto"/>
          <w:sz w:val="24"/>
        </w:rPr>
        <w:t>第</w:t>
      </w:r>
      <w:r>
        <w:rPr>
          <w:rFonts w:ascii="宋体" w:hAnsi="宋体"/>
          <w:color w:val="auto"/>
          <w:sz w:val="24"/>
        </w:rPr>
        <w:t>1＋2</w:t>
      </w:r>
      <w:r>
        <w:rPr>
          <w:rFonts w:hint="eastAsia" w:ascii="宋体" w:hAnsi="宋体"/>
          <w:color w:val="auto"/>
          <w:sz w:val="24"/>
        </w:rPr>
        <w:t>…</w:t>
      </w:r>
      <w:r>
        <w:rPr>
          <w:rFonts w:ascii="宋体" w:hAnsi="宋体"/>
          <w:color w:val="auto"/>
          <w:sz w:val="24"/>
        </w:rPr>
        <w:t>＋7</w:t>
      </w:r>
      <w:r>
        <w:rPr>
          <w:rFonts w:hint="eastAsia" w:ascii="宋体" w:hAnsi="宋体"/>
          <w:color w:val="auto"/>
          <w:sz w:val="24"/>
        </w:rPr>
        <w:t>行中，“投资性质”列选择“（</w:t>
      </w:r>
      <w:r>
        <w:rPr>
          <w:rFonts w:ascii="宋体" w:hAnsi="宋体"/>
          <w:color w:val="auto"/>
          <w:sz w:val="24"/>
        </w:rPr>
        <w:t>6</w:t>
      </w:r>
      <w:r>
        <w:rPr>
          <w:rFonts w:hint="eastAsia" w:ascii="宋体" w:hAnsi="宋体"/>
          <w:color w:val="auto"/>
          <w:sz w:val="24"/>
        </w:rPr>
        <w:t>）符合条件的永续债”的行次第</w:t>
      </w:r>
      <w:r>
        <w:rPr>
          <w:rFonts w:ascii="宋体" w:hAnsi="宋体"/>
          <w:color w:val="auto"/>
          <w:sz w:val="24"/>
        </w:rPr>
        <w:t>17</w:t>
      </w:r>
      <w:r>
        <w:rPr>
          <w:rFonts w:hint="eastAsia" w:ascii="宋体" w:hAnsi="宋体"/>
          <w:color w:val="auto"/>
          <w:sz w:val="24"/>
        </w:rPr>
        <w:t>列合计金额。</w:t>
      </w:r>
    </w:p>
    <w:p w14:paraId="07F9FD10">
      <w:pPr>
        <w:spacing w:line="360" w:lineRule="auto"/>
        <w:ind w:firstLine="480" w:firstLineChars="200"/>
        <w:outlineLvl w:val="2"/>
        <w:rPr>
          <w:rFonts w:hint="eastAsia" w:ascii="黑体" w:hAnsi="黑体" w:eastAsia="黑体" w:cs="黑体"/>
          <w:color w:val="auto"/>
          <w:sz w:val="24"/>
        </w:rPr>
      </w:pPr>
      <w:bookmarkStart w:id="24" w:name="_Toc21711243"/>
      <w:bookmarkStart w:id="25" w:name="_Toc21703759"/>
      <w:bookmarkStart w:id="26" w:name="_Toc24965064"/>
      <w:bookmarkStart w:id="27" w:name="_Toc21712281"/>
      <w:r>
        <w:rPr>
          <w:rFonts w:hint="eastAsia" w:ascii="黑体" w:hAnsi="黑体" w:eastAsia="黑体" w:cs="黑体"/>
          <w:color w:val="auto"/>
          <w:sz w:val="24"/>
        </w:rPr>
        <w:t>（二）表间关系</w:t>
      </w:r>
      <w:bookmarkEnd w:id="24"/>
      <w:bookmarkEnd w:id="25"/>
      <w:bookmarkEnd w:id="26"/>
      <w:bookmarkEnd w:id="27"/>
    </w:p>
    <w:p w14:paraId="29943461">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第</w:t>
      </w:r>
      <w:r>
        <w:rPr>
          <w:rFonts w:ascii="宋体" w:hAnsi="宋体"/>
          <w:color w:val="auto"/>
          <w:sz w:val="24"/>
        </w:rPr>
        <w:t>8</w:t>
      </w:r>
      <w:r>
        <w:rPr>
          <w:rFonts w:hint="eastAsia" w:ascii="宋体" w:hAnsi="宋体"/>
          <w:color w:val="auto"/>
          <w:sz w:val="24"/>
        </w:rPr>
        <w:t>行</w:t>
      </w:r>
      <w:r>
        <w:rPr>
          <w:rFonts w:hint="eastAsia" w:ascii="宋体" w:hAnsi="宋体"/>
          <w:color w:val="auto"/>
          <w:sz w:val="24"/>
          <w:lang w:eastAsia="zh-CN"/>
        </w:rPr>
        <w:t>至第</w:t>
      </w:r>
      <w:r>
        <w:rPr>
          <w:rFonts w:hint="eastAsia" w:ascii="宋体" w:hAnsi="宋体"/>
          <w:color w:val="auto"/>
          <w:sz w:val="24"/>
          <w:lang w:val="en-US" w:eastAsia="zh-CN"/>
        </w:rPr>
        <w:t>13行</w:t>
      </w:r>
      <w:r>
        <w:rPr>
          <w:rFonts w:hint="eastAsia" w:ascii="宋体" w:hAnsi="宋体"/>
          <w:color w:val="auto"/>
          <w:sz w:val="24"/>
        </w:rPr>
        <w:t>＝表A100000第22行下</w:t>
      </w:r>
      <w:r>
        <w:rPr>
          <w:rFonts w:hint="eastAsia" w:ascii="宋体" w:hAnsi="宋体"/>
          <w:color w:val="auto"/>
          <w:sz w:val="24"/>
          <w:lang w:eastAsia="zh-CN"/>
        </w:rPr>
        <w:t>对应</w:t>
      </w:r>
      <w:r>
        <w:rPr>
          <w:rFonts w:hint="eastAsia" w:ascii="宋体" w:hAnsi="宋体"/>
          <w:color w:val="auto"/>
          <w:sz w:val="24"/>
        </w:rPr>
        <w:t>项目金额。</w:t>
      </w:r>
    </w:p>
    <w:p w14:paraId="2B1BD46F">
      <w:pPr>
        <w:spacing w:line="360" w:lineRule="auto"/>
        <w:ind w:firstLine="480" w:firstLineChars="200"/>
        <w:rPr>
          <w:rFonts w:ascii="宋体" w:hAnsi="宋体"/>
          <w:color w:val="auto"/>
          <w:sz w:val="24"/>
        </w:rPr>
      </w:pPr>
    </w:p>
    <w:p w14:paraId="6439A82F">
      <w:pPr>
        <w:pStyle w:val="56"/>
      </w:pPr>
      <w:bookmarkStart w:id="28" w:name="_GoBack"/>
      <w:bookmarkEnd w:id="28"/>
    </w:p>
    <w:sectPr>
      <w:headerReference r:id="rId4"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6160D">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123</w:t>
    </w:r>
    <w:r>
      <w:rPr>
        <w:rStyle w:val="29"/>
      </w:rPr>
      <w:fldChar w:fldCharType="end"/>
    </w:r>
  </w:p>
  <w:p w14:paraId="1BD73C1C">
    <w:pPr>
      <w:pStyle w:val="15"/>
      <w:jc w:val="center"/>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9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A5D41"/>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39AA"/>
    <w:rsid w:val="00654DE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9A580D"/>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05E4AC9"/>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3008</Words>
  <Characters>3320</Characters>
  <Lines>26</Lines>
  <Paragraphs>7</Paragraphs>
  <TotalTime>0</TotalTime>
  <ScaleCrop>false</ScaleCrop>
  <LinksUpToDate>false</LinksUpToDate>
  <CharactersWithSpaces>3429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2022-01-08T12:39:00Z</dcterms:created>
  <dc:creator>曹凯</dc:creator>
  <cp:lastModifiedBy>默默</cp:lastModifiedBy>
  <cp:lastPrinted>2018-01-30T01:54:00Z</cp:lastPrinted>
  <dcterms:modified xsi:type="dcterms:W3CDTF">2025-01-27T06:29:21Z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C38710EC06A14FEFB9823BD60B47E2D9_12</vt:lpwstr>
  </property>
</Properties>
</file>