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A6D9C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</w:rPr>
        <w:t>1.4.6  跨区域涉税事项反馈</w:t>
      </w:r>
      <w:bookmarkEnd w:id="0"/>
      <w:r>
        <w:rPr>
          <w:rFonts w:hint="eastAsia" w:ascii="宋体" w:hAnsi="宋体" w:eastAsia="宋体" w:cs="宋体"/>
          <w:sz w:val="24"/>
          <w:szCs w:val="24"/>
        </w:rPr>
        <w:t>——265</w:t>
      </w:r>
    </w:p>
    <w:p w14:paraId="692C56CC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7C7EB6E5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一、业务概述</w:t>
      </w:r>
    </w:p>
    <w:p w14:paraId="603B2C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纳税人跨区域经营活动结束后，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应当结清经营地税务机关的应纳税款以及其他涉税事项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向经营地税务机关填报《跨区域涉税事项反馈表》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EB247A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二、办理流程</w:t>
      </w:r>
    </w:p>
    <w:p w14:paraId="7515210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1、纳税人登陆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t>新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电子税局，进入</w:t>
      </w:r>
      <w:r>
        <w:rPr>
          <w:rFonts w:hint="eastAsia" w:ascii="宋体" w:hAnsi="宋体" w:eastAsia="宋体" w:cs="宋体"/>
          <w:sz w:val="24"/>
          <w:szCs w:val="24"/>
        </w:rPr>
        <w:t>跨区域涉税事项反馈功能菜单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。</w:t>
      </w:r>
    </w:p>
    <w:p w14:paraId="4ACC82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填写跨区域生产经营活动情况。</w:t>
      </w:r>
    </w:p>
    <w:p w14:paraId="08B4645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  <w:t>3、保存并提交。</w:t>
      </w:r>
    </w:p>
    <w:p w14:paraId="2FF4967E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三、视频讲解</w:t>
      </w:r>
    </w:p>
    <w:p w14:paraId="32611CB8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t>1、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t>网址：</w:t>
      </w:r>
    </w:p>
    <w:p w14:paraId="51B979AB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instrText xml:space="preserve"> HYPERLINK "https://cdn.jiangsu.chinatax.gov.cn/etax/u/nsrxt/www/202407/12160209phh2.mp4" </w:instrTex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t>https://cdn.jiangsu.chinatax.gov.cn/etax/u/nsrxt/www/202407/12160209phh2.mp4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eastAsia="zh-CN"/>
        </w:rPr>
        <w:fldChar w:fldCharType="end"/>
      </w:r>
    </w:p>
    <w:p w14:paraId="0294907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t>2、网址</w:t>
      </w:r>
    </w:p>
    <w:p w14:paraId="77ADCB8A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instrText xml:space="preserve"> HYPERLINK "https://12366.chinatax.gov.cn/wap/pages/taxspecial/visual_detail.html?type=XDZSJKSDY&amp;con=acb8b5e669054689b40630d9f591b179" </w:instrTex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t>https://12366.chinatax.gov.cn/wap/pages/taxspecial/visual_detail.html?type=XDZSJKSDY&amp;con=acb8b5e669054689b40630d9f591b179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FFFFFF"/>
          <w:lang w:val="en-US" w:eastAsia="zh-CN"/>
        </w:rPr>
        <w:fldChar w:fldCharType="end"/>
      </w:r>
    </w:p>
    <w:p w14:paraId="5C4F9A79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Cs/>
          <w:sz w:val="24"/>
          <w:szCs w:val="24"/>
          <w:shd w:val="clear" w:color="auto" w:fill="FFFFFF"/>
        </w:rPr>
      </w:pPr>
    </w:p>
    <w:p w14:paraId="10A8007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四</w:t>
      </w:r>
      <w:r>
        <w:rPr>
          <w:rFonts w:hint="eastAsia" w:ascii="宋体" w:hAnsi="宋体" w:eastAsia="宋体" w:cs="宋体"/>
          <w:b/>
          <w:sz w:val="24"/>
          <w:szCs w:val="24"/>
        </w:rPr>
        <w:t>、功能路径</w:t>
      </w:r>
    </w:p>
    <w:p w14:paraId="7B604A7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1. 【我要办税】-【综合信息报告】-【税源信息报告】-【跨区域涉税事项反馈】。 </w:t>
      </w:r>
    </w:p>
    <w:p w14:paraId="3541A07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2.通过消息提醒跳转链接进入。</w:t>
      </w:r>
    </w:p>
    <w:p w14:paraId="659D526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3.通过首页搜索栏输入关键字查找。</w:t>
      </w:r>
    </w:p>
    <w:p w14:paraId="74C831EE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五</w:t>
      </w:r>
      <w:r>
        <w:rPr>
          <w:rFonts w:hint="eastAsia" w:ascii="宋体" w:hAnsi="宋体" w:eastAsia="宋体" w:cs="宋体"/>
          <w:b/>
          <w:sz w:val="24"/>
          <w:szCs w:val="24"/>
        </w:rPr>
        <w:t>、操作步骤</w:t>
      </w:r>
    </w:p>
    <w:p w14:paraId="3FC0A07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1.登录方式</w:t>
      </w:r>
    </w:p>
    <w:p w14:paraId="655B190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（1）跨区域涉税事项联系人选择【企业业务】-【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特定主体登录</w:t>
      </w:r>
      <w:r>
        <w:rPr>
          <w:rFonts w:hint="eastAsia" w:ascii="宋体" w:hAnsi="宋体" w:eastAsia="宋体" w:cs="宋体"/>
          <w:sz w:val="24"/>
          <w:szCs w:val="24"/>
        </w:rPr>
        <w:t>】。</w:t>
      </w:r>
    </w:p>
    <w:p w14:paraId="1350008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830830"/>
            <wp:effectExtent l="0" t="0" r="10795" b="7620"/>
            <wp:docPr id="3" name="图片 3" descr="特定主体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特定主体界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A7C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（2）特定主体类型选择“跨区域报验户”，依次输入统一社会信用代码/纳税人识别号、居民身份证号码/手机号码/用户名、个人用户密码，向右拖动滑块，点击【登录】。</w:t>
      </w:r>
    </w:p>
    <w:p w14:paraId="24C5C46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967355"/>
            <wp:effectExtent l="0" t="0" r="4445" b="4445"/>
            <wp:docPr id="5" name="图片 5" descr="特定主体登录显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特定主体登录显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04F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（3）点击【获取验证码】，输入验证码，点击【登录】。</w:t>
      </w:r>
    </w:p>
    <w:p w14:paraId="75BCB5D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3416935"/>
            <wp:effectExtent l="0" t="0" r="8255" b="12065"/>
            <wp:docPr id="6" name="图片 6" descr="短信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短信登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453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（4）跳转至跨区域涉税事项报验界面，选择相应跨区域涉税事项报验信息，点击【进入】。</w:t>
      </w:r>
    </w:p>
    <w:p w14:paraId="64A606E4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763395"/>
            <wp:effectExtent l="19050" t="0" r="2540" b="0"/>
            <wp:docPr id="1" name="图片 0" descr="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age00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18E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2.登录新电子税局后，点击【我要办税】-【综合信息报告】-【税源信息报告】-【跨区域涉税事项反馈】功能菜单。</w:t>
      </w:r>
    </w:p>
    <w:p w14:paraId="6BA29C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393950"/>
            <wp:effectExtent l="0" t="0" r="2540" b="6350"/>
            <wp:docPr id="8" name="图片 8" descr="跨区域反馈路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跨区域反馈路径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E3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3.跳转至跨区域涉税事项反馈界面。</w:t>
      </w:r>
    </w:p>
    <w:p w14:paraId="34C5A26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45080"/>
            <wp:effectExtent l="0" t="0" r="2540" b="7620"/>
            <wp:docPr id="2" name="图片 1" descr="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age011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B91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系统自动带出其中一条跨区域涉税项目管理编号对应经营基本信息。如存在多条时，选择跨区域涉税项目管理编号，系统自动带出“合同包含的项目名称”、“实际合同金额”、“实际经营期起”、“实际经营期止”信息。</w:t>
      </w:r>
    </w:p>
    <w:p w14:paraId="74E3FB3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008505"/>
            <wp:effectExtent l="19050" t="0" r="2540" b="0"/>
            <wp:docPr id="4" name="图片 3" descr="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age01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373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5.点击【查询预缴款信息】。</w:t>
      </w:r>
    </w:p>
    <w:p w14:paraId="30E76AB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941830"/>
            <wp:effectExtent l="19050" t="0" r="2540" b="0"/>
            <wp:docPr id="16" name="图片 15" descr="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age015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5F8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6.跳转至查询预缴税款信息界面，录入查询条件，点击【查询】。</w:t>
      </w:r>
    </w:p>
    <w:p w14:paraId="0B37FB0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540635"/>
            <wp:effectExtent l="0" t="0" r="5715" b="12065"/>
            <wp:docPr id="12" name="图片 12" descr="查询预缴税款条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查询预缴税款条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6B2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7.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勾选对应预缴税款信息，点击【确定</w:t>
      </w:r>
      <w:r>
        <w:rPr>
          <w:rFonts w:hint="eastAsia" w:ascii="宋体" w:hAnsi="宋体" w:eastAsia="宋体" w:cs="宋体"/>
          <w:sz w:val="24"/>
          <w:szCs w:val="24"/>
        </w:rPr>
        <w:t>】。</w:t>
      </w:r>
    </w:p>
    <w:p w14:paraId="654842C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570480"/>
            <wp:effectExtent l="0" t="0" r="2540" b="1270"/>
            <wp:docPr id="17" name="图片 16" descr="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age019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4B71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8.跳转至跨区域涉税事项反馈界面，预缴税款信息自动带出到跨区域经营活动情况栏。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如需补充预缴税款信息，点击【增行】，填写征收项目、已预缴税款金额等相应数据</w:t>
      </w:r>
      <w:r>
        <w:rPr>
          <w:rFonts w:hint="eastAsia" w:ascii="宋体" w:hAnsi="宋体" w:eastAsia="宋体" w:cs="宋体"/>
          <w:sz w:val="24"/>
          <w:szCs w:val="24"/>
        </w:rPr>
        <w:t>。如需删除预缴税款信息，勾选相应数据点击【删行】。确认无误后点击【提交】。</w:t>
      </w:r>
    </w:p>
    <w:p w14:paraId="61F7EB65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936240"/>
            <wp:effectExtent l="19050" t="0" r="2540" b="0"/>
            <wp:docPr id="18" name="图片 17" descr="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age02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92A2">
      <w:pPr>
        <w:pStyle w:val="8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9.跳转至提交成功界面，界面给出提示信息：“您提交的跨区域涉税事项反馈已办理成功。您可进入【办税进度及结果信息查询】模块下载申请表或文书”。点击【办税进度及结果信息查询】可下载《经营地涉税事项反馈表》。</w:t>
      </w:r>
      <w:r>
        <w:rPr>
          <w:rFonts w:hint="eastAsia" w:ascii="宋体" w:hAnsi="宋体" w:eastAsia="宋体" w:cs="宋体"/>
          <w:bCs/>
          <w:sz w:val="24"/>
          <w:szCs w:val="24"/>
        </w:rPr>
        <w:t>点击【返回首页】即可回到主界面。</w:t>
      </w:r>
    </w:p>
    <w:p w14:paraId="22F1C23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2379345"/>
            <wp:effectExtent l="0" t="0" r="0" b="0"/>
            <wp:docPr id="15" name="图片 15" descr="反馈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反馈提交"/>
                    <pic:cNvPicPr>
                      <a:picLocks noChangeAspect="1"/>
                    </pic:cNvPicPr>
                  </pic:nvPicPr>
                  <pic:blipFill>
                    <a:blip r:embed="rId15"/>
                    <a:srcRect b="50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33E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六</w:t>
      </w:r>
      <w:r>
        <w:rPr>
          <w:rFonts w:hint="eastAsia" w:ascii="宋体" w:hAnsi="宋体" w:eastAsia="宋体" w:cs="宋体"/>
          <w:b/>
          <w:sz w:val="24"/>
          <w:szCs w:val="24"/>
        </w:rPr>
        <w:t>、注意事项</w:t>
      </w:r>
    </w:p>
    <w:p w14:paraId="1AE1BB43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1.纳税人对报送资料的真实性和合法性承担责任。</w:t>
      </w:r>
    </w:p>
    <w:p w14:paraId="2E161B9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textAlignment w:val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七、常见问题</w:t>
      </w:r>
    </w:p>
    <w:p w14:paraId="09E173F9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"javascript:%20void(0)" \o "跨区域涉税事项报告表到期是否需要办理缴销手续？"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跨区域涉税事项报告表到期是否需要办理核销手续？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 w14:paraId="3DE8A29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64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答：纳税人跨区域经营活动结束后，应当结清经营地税务机关的应纳税款以及其他涉税事项，向经营地的税务机关填报《经营地涉税事项反馈表》。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经营地的税务机关核对《经营地涉税事项反馈表》后，及时将相关信息反馈给机构所在地的税务机关。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纳税人不需要另行向机构所在地的税务机关办理核销手续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lZWY3ZTA5NmEzMzI5MzEyMjI2YTc2MzdkMmQ5MmUifQ=="/>
  </w:docVars>
  <w:rsids>
    <w:rsidRoot w:val="000E0EB8"/>
    <w:rsid w:val="000E0EB8"/>
    <w:rsid w:val="00103135"/>
    <w:rsid w:val="003913DD"/>
    <w:rsid w:val="004B00EC"/>
    <w:rsid w:val="004B2D4F"/>
    <w:rsid w:val="005D60CD"/>
    <w:rsid w:val="00690D24"/>
    <w:rsid w:val="006F1045"/>
    <w:rsid w:val="00725AB9"/>
    <w:rsid w:val="0073634E"/>
    <w:rsid w:val="00780FEF"/>
    <w:rsid w:val="00783069"/>
    <w:rsid w:val="007A650A"/>
    <w:rsid w:val="00817BFB"/>
    <w:rsid w:val="00887168"/>
    <w:rsid w:val="008903BD"/>
    <w:rsid w:val="00903862"/>
    <w:rsid w:val="00943840"/>
    <w:rsid w:val="00965A83"/>
    <w:rsid w:val="00A60BD2"/>
    <w:rsid w:val="00B54E36"/>
    <w:rsid w:val="00B93C03"/>
    <w:rsid w:val="00BA2229"/>
    <w:rsid w:val="00C53000"/>
    <w:rsid w:val="00D1011F"/>
    <w:rsid w:val="00D2799A"/>
    <w:rsid w:val="00D37E0D"/>
    <w:rsid w:val="00DA0318"/>
    <w:rsid w:val="00E35BB9"/>
    <w:rsid w:val="00E87B00"/>
    <w:rsid w:val="00EC1A05"/>
    <w:rsid w:val="0D277071"/>
    <w:rsid w:val="0EC04D2F"/>
    <w:rsid w:val="109178D2"/>
    <w:rsid w:val="183F5E86"/>
    <w:rsid w:val="185C02BF"/>
    <w:rsid w:val="1C1B2BC1"/>
    <w:rsid w:val="1F1B29F2"/>
    <w:rsid w:val="225246C6"/>
    <w:rsid w:val="2AD67926"/>
    <w:rsid w:val="2D0F70C5"/>
    <w:rsid w:val="3D434B1A"/>
    <w:rsid w:val="4CD913E2"/>
    <w:rsid w:val="5C2D6E7E"/>
    <w:rsid w:val="60D25A38"/>
    <w:rsid w:val="61A42FB4"/>
    <w:rsid w:val="629923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Normal Indent1"/>
    <w:qFormat/>
    <w:uiPriority w:val="0"/>
    <w:pPr>
      <w:spacing w:line="360" w:lineRule="auto"/>
      <w:ind w:firstLine="883" w:firstLineChars="200"/>
    </w:pPr>
    <w:rPr>
      <w:rFonts w:ascii="Songti SC" w:hAnsi="Songti SC" w:eastAsia="宋体" w:cs="Songti SC"/>
      <w:sz w:val="24"/>
      <w:szCs w:val="24"/>
      <w:lang w:val="en-US" w:eastAsia="zh-CN" w:bidi="ar-SA"/>
    </w:rPr>
  </w:style>
  <w:style w:type="paragraph" w:styleId="4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25"/>
    <w:semiHidden/>
    <w:unhideWhenUsed/>
    <w:qFormat/>
    <w:uiPriority w:val="99"/>
    <w:rPr>
      <w:b/>
      <w:bCs/>
    </w:r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Char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sz w:val="18"/>
      <w:szCs w:val="18"/>
    </w:rPr>
  </w:style>
  <w:style w:type="paragraph" w:customStyle="1" w:styleId="16">
    <w:name w:val="表格文字 左对齐"/>
    <w:basedOn w:val="1"/>
    <w:link w:val="17"/>
    <w:qFormat/>
    <w:uiPriority w:val="0"/>
    <w:pPr>
      <w:widowControl/>
      <w:jc w:val="left"/>
    </w:pPr>
    <w:rPr>
      <w:rFonts w:ascii="Arial" w:hAnsi="Arial" w:eastAsia="Times New Roman" w:cs="Arial"/>
      <w:kern w:val="0"/>
      <w:sz w:val="18"/>
    </w:rPr>
  </w:style>
  <w:style w:type="character" w:customStyle="1" w:styleId="17">
    <w:name w:val="表格文字 左对齐 Char"/>
    <w:link w:val="16"/>
    <w:qFormat/>
    <w:uiPriority w:val="0"/>
    <w:rPr>
      <w:rFonts w:ascii="Arial" w:hAnsi="Arial" w:eastAsia="Times New Roman" w:cs="Arial"/>
      <w:kern w:val="0"/>
      <w:sz w:val="18"/>
      <w:szCs w:val="24"/>
    </w:rPr>
  </w:style>
  <w:style w:type="paragraph" w:customStyle="1" w:styleId="18">
    <w:name w:val="表格列标题"/>
    <w:basedOn w:val="1"/>
    <w:link w:val="19"/>
    <w:qFormat/>
    <w:uiPriority w:val="0"/>
    <w:pPr>
      <w:widowControl/>
      <w:jc w:val="center"/>
    </w:pPr>
    <w:rPr>
      <w:rFonts w:ascii="Arial" w:hAnsi="Arial" w:eastAsia="Times New Roman" w:cs="Arial"/>
      <w:b/>
      <w:kern w:val="0"/>
      <w:sz w:val="18"/>
    </w:rPr>
  </w:style>
  <w:style w:type="character" w:customStyle="1" w:styleId="19">
    <w:name w:val="表格列标题 Char"/>
    <w:link w:val="18"/>
    <w:qFormat/>
    <w:uiPriority w:val="0"/>
    <w:rPr>
      <w:rFonts w:ascii="Arial" w:hAnsi="Arial" w:eastAsia="Times New Roman" w:cs="Arial"/>
      <w:b/>
      <w:kern w:val="0"/>
      <w:sz w:val="18"/>
      <w:szCs w:val="24"/>
    </w:rPr>
  </w:style>
  <w:style w:type="paragraph" w:customStyle="1" w:styleId="20">
    <w:name w:val="表格文字 居中"/>
    <w:basedOn w:val="1"/>
    <w:link w:val="21"/>
    <w:qFormat/>
    <w:uiPriority w:val="0"/>
    <w:pPr>
      <w:widowControl/>
      <w:jc w:val="center"/>
    </w:pPr>
    <w:rPr>
      <w:rFonts w:ascii="Arial" w:hAnsi="Arial" w:cs="Arial"/>
      <w:sz w:val="18"/>
      <w:szCs w:val="20"/>
    </w:rPr>
  </w:style>
  <w:style w:type="character" w:customStyle="1" w:styleId="21">
    <w:name w:val="表格文字 居中 Char"/>
    <w:link w:val="20"/>
    <w:qFormat/>
    <w:uiPriority w:val="0"/>
    <w:rPr>
      <w:rFonts w:ascii="Arial" w:hAnsi="Arial" w:eastAsia="宋体" w:cs="Arial"/>
      <w:sz w:val="18"/>
      <w:szCs w:val="20"/>
    </w:rPr>
  </w:style>
  <w:style w:type="paragraph" w:styleId="22">
    <w:name w:val="List Paragraph"/>
    <w:basedOn w:val="1"/>
    <w:qFormat/>
    <w:uiPriority w:val="34"/>
    <w:pPr>
      <w:widowControl/>
      <w:spacing w:line="360" w:lineRule="auto"/>
      <w:ind w:firstLine="420" w:firstLineChars="200"/>
    </w:pPr>
    <w:rPr>
      <w:rFonts w:ascii="Times New Roman" w:hAnsi="Times New Roman"/>
      <w:color w:val="000000"/>
      <w:sz w:val="24"/>
    </w:rPr>
  </w:style>
  <w:style w:type="character" w:customStyle="1" w:styleId="23">
    <w:name w:val="批注框文本 Char"/>
    <w:basedOn w:val="11"/>
    <w:link w:val="5"/>
    <w:semiHidden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24">
    <w:name w:val="批注文字 Char"/>
    <w:basedOn w:val="11"/>
    <w:link w:val="4"/>
    <w:semiHidden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25">
    <w:name w:val="批注主题 Char"/>
    <w:basedOn w:val="24"/>
    <w:link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4785B-0B1F-4995-BFCD-98BB2B21CE4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1069</Words>
  <Characters>1285</Characters>
  <Lines>9</Lines>
  <Paragraphs>2</Paragraphs>
  <TotalTime>8</TotalTime>
  <ScaleCrop>false</ScaleCrop>
  <LinksUpToDate>false</LinksUpToDate>
  <CharactersWithSpaces>1289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2024-06-14T08:43:00Z</dcterms:created>
  <dc:creator>奕翔 火</dc:creator>
  <cp:lastModifiedBy>默默</cp:lastModifiedBy>
  <dcterms:modified xsi:type="dcterms:W3CDTF">2025-07-08T01:52:42Z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E3D27F58D1404D0F82A8E12D17DD2BC3_12</vt:lpwstr>
  </property>
  <property fmtid="{D5CDD505-2E9C-101B-9397-08002B2CF9AE}" pid="4" name="KSOTemplateDocerSaveRecord">
    <vt:lpwstr>eyJoZGlkIjoiYWI0MTczMTlmZGQwMDlkNjE0Y2E2NDViNmNjNWY1ZmYiLCJ1c2VySWQiOiI3MzkzMzY4MTcifQ==</vt:lpwstr>
  </property>
</Properties>
</file>