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413F2">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1.5.5  资源回收企业反向开票事项报告申请——342</w:t>
      </w:r>
    </w:p>
    <w:p w14:paraId="7E3EC71E">
      <w:pPr>
        <w:pStyle w:val="2"/>
        <w:rPr>
          <w:rFonts w:hint="eastAsia"/>
          <w:highlight w:val="none"/>
          <w:lang w:val="en-US" w:eastAsia="zh-CN"/>
        </w:rPr>
      </w:pPr>
    </w:p>
    <w:p w14:paraId="33785CFF">
      <w:pPr>
        <w:pStyle w:val="4"/>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【事项概述】</w:t>
      </w:r>
    </w:p>
    <w:p w14:paraId="491D06B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自然人报废产品出售者向资源回收企业销售报废产品</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rPr>
        <w:t>符合条件的资源回收企业可以向出售者开具发票（以下称“反向开票”）</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rPr>
        <w:t>需要反向开票的，可办理资源回收企业反向开票资质认定，并报送相关信息</w:t>
      </w:r>
      <w:r>
        <w:rPr>
          <w:rFonts w:hint="eastAsia" w:ascii="宋体" w:hAnsi="宋体" w:eastAsia="宋体" w:cs="宋体"/>
          <w:bCs/>
          <w:sz w:val="24"/>
          <w:szCs w:val="24"/>
          <w:highlight w:val="none"/>
        </w:rPr>
        <w:t>。</w:t>
      </w:r>
    </w:p>
    <w:p w14:paraId="3ED8A89C">
      <w:pPr>
        <w:pStyle w:val="4"/>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0E8C3306">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办理方式：线上（全程线上审核办结）/线下</w:t>
      </w:r>
    </w:p>
    <w:p w14:paraId="6868604A">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办理时限：即时办结</w:t>
      </w:r>
    </w:p>
    <w:p w14:paraId="42F34293">
      <w:pPr>
        <w:pStyle w:val="4"/>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【办理流程】</w:t>
      </w:r>
    </w:p>
    <w:p w14:paraId="3112953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纳税人通过全国统一规范电子税务局“资源回收企业反向开票事项报告申请”功能申请反向开票资格认定。</w:t>
      </w:r>
    </w:p>
    <w:p w14:paraId="67EA33A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--信息系统：全国统一规范电子税务局“资源回收企业反向开票事项报告申请”</w:t>
      </w:r>
    </w:p>
    <w:p w14:paraId="0D9F7813">
      <w:pPr>
        <w:pStyle w:val="4"/>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02519958">
      <w:pPr>
        <w:pStyle w:val="7"/>
        <w:pageBreakBefore w:val="0"/>
        <w:kinsoku/>
        <w:wordWrap/>
        <w:topLinePunct w:val="0"/>
        <w:bidi w:val="0"/>
        <w:snapToGrid/>
        <w:spacing w:before="157" w:beforeLines="50" w:after="157" w:afterLines="50" w:line="360" w:lineRule="auto"/>
        <w:ind w:firstLine="361"/>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资源回收企业向自然人报废产品出售者反向开票资格认定资料清单</w:t>
      </w:r>
    </w:p>
    <w:tbl>
      <w:tblPr>
        <w:tblStyle w:val="5"/>
        <w:tblW w:w="86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4203"/>
        <w:gridCol w:w="633"/>
        <w:gridCol w:w="633"/>
        <w:gridCol w:w="633"/>
        <w:gridCol w:w="633"/>
        <w:gridCol w:w="633"/>
        <w:gridCol w:w="633"/>
      </w:tblGrid>
      <w:tr w14:paraId="06BDC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33" w:type="dxa"/>
            <w:tcBorders>
              <w:top w:val="single" w:color="auto" w:sz="12" w:space="0"/>
              <w:left w:val="single" w:color="auto" w:sz="12" w:space="0"/>
              <w:bottom w:val="single" w:color="auto" w:sz="6" w:space="0"/>
              <w:right w:val="single" w:color="auto" w:sz="6" w:space="0"/>
            </w:tcBorders>
            <w:shd w:val="clear" w:color="auto" w:fill="E0E0E0"/>
            <w:noWrap w:val="0"/>
            <w:vAlign w:val="center"/>
          </w:tcPr>
          <w:p w14:paraId="05542769">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20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2CC5D366">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7DECB3B6">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7E93744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2C6226B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E3B2BEC">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33" w:type="dxa"/>
            <w:tcBorders>
              <w:top w:val="single" w:color="auto" w:sz="12" w:space="0"/>
              <w:left w:val="single" w:color="auto" w:sz="6" w:space="0"/>
              <w:bottom w:val="single" w:color="auto" w:sz="6" w:space="0"/>
              <w:right w:val="single" w:color="auto" w:sz="6" w:space="0"/>
            </w:tcBorders>
            <w:shd w:val="clear" w:color="auto" w:fill="E0E0E0"/>
            <w:noWrap w:val="0"/>
            <w:vAlign w:val="center"/>
          </w:tcPr>
          <w:p w14:paraId="7FFF3BF2">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33" w:type="dxa"/>
            <w:tcBorders>
              <w:top w:val="single" w:color="auto" w:sz="12" w:space="0"/>
              <w:left w:val="single" w:color="auto" w:sz="6" w:space="0"/>
              <w:bottom w:val="single" w:color="auto" w:sz="6" w:space="0"/>
              <w:right w:val="single" w:color="auto" w:sz="12" w:space="0"/>
            </w:tcBorders>
            <w:shd w:val="clear" w:color="auto" w:fill="E0E0E0"/>
            <w:noWrap w:val="0"/>
            <w:vAlign w:val="center"/>
          </w:tcPr>
          <w:p w14:paraId="28E02493">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50A10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tcBorders>
              <w:top w:val="single" w:color="auto" w:sz="6" w:space="0"/>
              <w:left w:val="single" w:color="auto" w:sz="12" w:space="0"/>
              <w:bottom w:val="single" w:color="auto" w:sz="6" w:space="0"/>
              <w:right w:val="single" w:color="auto" w:sz="6" w:space="0"/>
            </w:tcBorders>
            <w:noWrap w:val="0"/>
            <w:vAlign w:val="center"/>
          </w:tcPr>
          <w:p w14:paraId="1AC0771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03" w:type="dxa"/>
            <w:tcBorders>
              <w:top w:val="single" w:color="auto" w:sz="6" w:space="0"/>
              <w:left w:val="single" w:color="auto" w:sz="6" w:space="0"/>
              <w:bottom w:val="single" w:color="auto" w:sz="6" w:space="0"/>
              <w:right w:val="single" w:color="auto" w:sz="6" w:space="0"/>
            </w:tcBorders>
            <w:noWrap w:val="0"/>
            <w:vAlign w:val="center"/>
          </w:tcPr>
          <w:p w14:paraId="1613F4BA">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
              </w:rPr>
              <w:t>《资源回收企业“反向开票”申请表》</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5765E8C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55AEE4E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center"/>
          </w:tcPr>
          <w:p w14:paraId="25C4BFF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5D2FC82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center"/>
          </w:tcPr>
          <w:p w14:paraId="6D2EDC1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12" w:space="0"/>
            </w:tcBorders>
            <w:noWrap w:val="0"/>
            <w:vAlign w:val="center"/>
          </w:tcPr>
          <w:p w14:paraId="47A2AED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79E2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tcBorders>
              <w:top w:val="single" w:color="auto" w:sz="6" w:space="0"/>
              <w:left w:val="single" w:color="auto" w:sz="12" w:space="0"/>
              <w:bottom w:val="single" w:color="auto" w:sz="6" w:space="0"/>
              <w:right w:val="single" w:color="auto" w:sz="6" w:space="0"/>
            </w:tcBorders>
            <w:noWrap w:val="0"/>
            <w:vAlign w:val="center"/>
          </w:tcPr>
          <w:p w14:paraId="1D58D3F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203" w:type="dxa"/>
            <w:tcBorders>
              <w:top w:val="single" w:color="auto" w:sz="6" w:space="0"/>
              <w:left w:val="single" w:color="auto" w:sz="6" w:space="0"/>
              <w:bottom w:val="single" w:color="auto" w:sz="6" w:space="0"/>
              <w:right w:val="single" w:color="auto" w:sz="6" w:space="0"/>
            </w:tcBorders>
            <w:noWrap w:val="0"/>
            <w:vAlign w:val="center"/>
          </w:tcPr>
          <w:p w14:paraId="2BEE1389">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危险废物经营许可证或报废机动车回收拆解企业资质认定证书，或者商务部门再生资源回收经营者备案登记证明</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576FB30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0188AC0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center"/>
          </w:tcPr>
          <w:p w14:paraId="54F5CA5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center"/>
          </w:tcPr>
          <w:p w14:paraId="5C99867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00E9EF5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12" w:space="0"/>
            </w:tcBorders>
            <w:noWrap w:val="0"/>
            <w:vAlign w:val="center"/>
          </w:tcPr>
          <w:p w14:paraId="1F01710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C0BF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tcBorders>
              <w:top w:val="single" w:color="auto" w:sz="6" w:space="0"/>
              <w:left w:val="single" w:color="auto" w:sz="12" w:space="0"/>
              <w:bottom w:val="single" w:color="auto" w:sz="6" w:space="0"/>
              <w:right w:val="single" w:color="auto" w:sz="6" w:space="0"/>
            </w:tcBorders>
            <w:noWrap w:val="0"/>
            <w:vAlign w:val="center"/>
          </w:tcPr>
          <w:p w14:paraId="7B586FF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203" w:type="dxa"/>
            <w:tcBorders>
              <w:top w:val="single" w:color="auto" w:sz="6" w:space="0"/>
              <w:left w:val="single" w:color="auto" w:sz="6" w:space="0"/>
              <w:bottom w:val="single" w:color="auto" w:sz="6" w:space="0"/>
              <w:right w:val="single" w:color="auto" w:sz="6" w:space="0"/>
            </w:tcBorders>
            <w:noWrap w:val="0"/>
            <w:vAlign w:val="center"/>
          </w:tcPr>
          <w:p w14:paraId="31B97517">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危险废物经营许可证复印件或报废机动车回收拆解企业资质认定证书复印件，或者商务部门再生资源回收经营者备案登记证明复印件</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30293DD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2F9BE5B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center"/>
          </w:tcPr>
          <w:p w14:paraId="529010A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tcBorders>
              <w:top w:val="single" w:color="auto" w:sz="6" w:space="0"/>
              <w:left w:val="single" w:color="auto" w:sz="6" w:space="0"/>
              <w:bottom w:val="single" w:color="auto" w:sz="6" w:space="0"/>
              <w:right w:val="single" w:color="auto" w:sz="6" w:space="0"/>
            </w:tcBorders>
            <w:noWrap w:val="0"/>
            <w:vAlign w:val="center"/>
          </w:tcPr>
          <w:p w14:paraId="0B10B58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6" w:space="0"/>
            </w:tcBorders>
            <w:noWrap w:val="0"/>
            <w:vAlign w:val="center"/>
          </w:tcPr>
          <w:p w14:paraId="0408C58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33" w:type="dxa"/>
            <w:tcBorders>
              <w:top w:val="single" w:color="auto" w:sz="6" w:space="0"/>
              <w:left w:val="single" w:color="auto" w:sz="6" w:space="0"/>
              <w:bottom w:val="single" w:color="auto" w:sz="6" w:space="0"/>
              <w:right w:val="single" w:color="auto" w:sz="12" w:space="0"/>
            </w:tcBorders>
            <w:noWrap w:val="0"/>
            <w:vAlign w:val="center"/>
          </w:tcPr>
          <w:p w14:paraId="770440F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6E7C5DE0">
      <w:pPr>
        <w:pStyle w:val="4"/>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【政策依据】</w:t>
      </w:r>
    </w:p>
    <w:p w14:paraId="6FB8165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1.《中华人民共和国税收征收管理法》（中华人民共和国主席令〔2001〕第四十九号）第二十五条、第二十六条、第二十七条</w:t>
      </w:r>
    </w:p>
    <w:p w14:paraId="702D2AC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sz w:val="24"/>
          <w:szCs w:val="24"/>
          <w:highlight w:val="none"/>
        </w:rPr>
        <w:t>《中华人民共和国税收征收管理法实施细则》（</w:t>
      </w:r>
      <w:r>
        <w:rPr>
          <w:rFonts w:hint="eastAsia" w:ascii="宋体" w:hAnsi="宋体" w:eastAsia="宋体" w:cs="宋体"/>
          <w:sz w:val="24"/>
          <w:szCs w:val="24"/>
          <w:highlight w:val="none"/>
        </w:rPr>
        <w:t>中华人民共和国国务院令第362号</w:t>
      </w:r>
      <w:r>
        <w:rPr>
          <w:rFonts w:hint="eastAsia" w:ascii="宋体" w:hAnsi="宋体" w:eastAsia="宋体" w:cs="宋体"/>
          <w:bCs/>
          <w:sz w:val="24"/>
          <w:szCs w:val="24"/>
          <w:highlight w:val="none"/>
        </w:rPr>
        <w:t>）第三十三条、第三十五条、第三十七条</w:t>
      </w:r>
    </w:p>
    <w:p w14:paraId="0AFF21B4">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3.《国家税务总局关于资源回收企业向自然人报废产品出售者“反向开票”有关事项的公告》（2024年第5号）</w:t>
      </w:r>
    </w:p>
    <w:p w14:paraId="408B69B1">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4.《国家税务总局货物和劳务税司关于下发〈资源回收企业向自然人报废产品出售者“反向开票”工作指引（1.0版）〉及有关事项的通知》（税总货便函〔2024〕14号）</w:t>
      </w:r>
    </w:p>
    <w:p w14:paraId="15EF562C">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bookmarkEnd w:id="0"/>
    <w:p w14:paraId="4E33386D">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3006B6B0">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375B3"/>
    <w:rsid w:val="1543412A"/>
    <w:rsid w:val="1DD178CD"/>
    <w:rsid w:val="1F5F4CFB"/>
    <w:rsid w:val="3A345845"/>
    <w:rsid w:val="53C3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Normal Indent1"/>
    <w:basedOn w:val="1"/>
    <w:next w:val="1"/>
    <w:qFormat/>
    <w:uiPriority w:val="0"/>
    <w:pPr>
      <w:spacing w:line="360" w:lineRule="auto"/>
      <w:ind w:firstLine="883" w:firstLineChars="200"/>
    </w:pPr>
    <w:rPr>
      <w:rFonts w:hint="eastAsia" w:ascii="Songti SC" w:hAnsi="Songti SC"/>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675</Words>
  <Characters>704</Characters>
  <Lines>0</Lines>
  <Paragraphs>0</Paragraphs>
  <TotalTime>43</TotalTime>
  <ScaleCrop>false</ScaleCrop>
  <LinksUpToDate>false</LinksUpToDate>
  <CharactersWithSpaces>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2025-02-24T23:06:00Z</dcterms:created>
  <dc:creator>fzr</dc:creator>
  <cp:lastModifiedBy>默默</cp:lastModifiedBy>
  <dcterms:modified xsi:type="dcterms:W3CDTF">2025-07-08T02:33:22Z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86E83C74579F4FADB6EE2C8C422DEA09_12</vt:lpwstr>
  </property>
</Properties>
</file>