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CB3B54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snapToGrid/>
        <w:spacing w:before="157" w:beforeLines="50" w:after="157" w:afterLines="50"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3.2.1  居民企业（查账征收）企业所得税年度申报——1050</w:t>
      </w:r>
    </w:p>
    <w:p w14:paraId="6837B841">
      <w:pPr>
        <w:rPr>
          <w:rFonts w:hint="eastAsia"/>
        </w:rPr>
      </w:pPr>
    </w:p>
    <w:p w14:paraId="678C69E4"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snapToGrid/>
        <w:spacing w:before="157" w:beforeLines="50" w:after="157" w:afterLines="50" w:line="360" w:lineRule="auto"/>
        <w:rPr>
          <w:rFonts w:hint="eastAsia" w:ascii="宋体" w:hAnsi="宋体" w:eastAsia="宋体" w:cs="宋体"/>
          <w:sz w:val="24"/>
          <w:szCs w:val="24"/>
        </w:rPr>
      </w:pPr>
      <w:bookmarkStart w:id="1" w:name="_GoBack"/>
      <w:r>
        <w:rPr>
          <w:rFonts w:hint="eastAsia" w:ascii="宋体" w:hAnsi="宋体" w:eastAsia="宋体" w:cs="宋体"/>
          <w:sz w:val="24"/>
          <w:szCs w:val="24"/>
        </w:rPr>
        <w:t>一、业务概述</w:t>
      </w:r>
    </w:p>
    <w:p w14:paraId="24D3E2EC">
      <w:pPr>
        <w:keepNext/>
        <w:pageBreakBefore w:val="0"/>
        <w:kinsoku/>
        <w:wordWrap/>
        <w:overflowPunct/>
        <w:topLinePunct w:val="0"/>
        <w:autoSpaceDE/>
        <w:autoSpaceDN/>
        <w:bidi w:val="0"/>
        <w:snapToGrid/>
        <w:spacing w:before="157" w:beforeLines="50" w:after="157" w:afterLines="50" w:line="360" w:lineRule="auto"/>
        <w:ind w:firstLine="480" w:firstLineChars="200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实行查账征收方式申报企业所得税的居民企业（包括境外注册中资控股居民企业）应当</w:t>
      </w:r>
      <w:r>
        <w:rPr>
          <w:rFonts w:hint="eastAsia" w:ascii="宋体" w:hAnsi="宋体" w:eastAsia="宋体" w:cs="宋体"/>
          <w:kern w:val="0"/>
          <w:sz w:val="24"/>
          <w:szCs w:val="24"/>
          <w:highlight w:val="yellow"/>
        </w:rPr>
        <w:t>在纳税年度终了之日起5个月内</w:t>
      </w:r>
      <w:r>
        <w:rPr>
          <w:rFonts w:hint="eastAsia" w:ascii="宋体" w:hAnsi="宋体" w:eastAsia="宋体" w:cs="宋体"/>
          <w:kern w:val="0"/>
          <w:sz w:val="24"/>
          <w:szCs w:val="24"/>
        </w:rPr>
        <w:t>，</w:t>
      </w:r>
      <w:r>
        <w:rPr>
          <w:rFonts w:hint="eastAsia" w:ascii="宋体" w:hAnsi="宋体" w:eastAsia="宋体" w:cs="宋体"/>
          <w:kern w:val="0"/>
          <w:sz w:val="24"/>
          <w:szCs w:val="24"/>
          <w:highlight w:val="yellow"/>
        </w:rPr>
        <w:t>在年度中间终止经营活动的应当在实际终止经营之日起60日内</w:t>
      </w:r>
      <w:r>
        <w:rPr>
          <w:rFonts w:hint="eastAsia" w:ascii="宋体" w:hAnsi="宋体" w:eastAsia="宋体" w:cs="宋体"/>
          <w:kern w:val="0"/>
          <w:sz w:val="24"/>
          <w:szCs w:val="24"/>
        </w:rPr>
        <w:t>，依照税收法律、法规、规章及其他有关规定，自行计算本纳税年度应纳税所得额、应纳所得税额和本纳税年度应补（退）税额，向税务机关提交</w:t>
      </w:r>
      <w:r>
        <w:rPr>
          <w:rFonts w:hint="eastAsia" w:ascii="宋体" w:hAnsi="宋体" w:eastAsia="宋体" w:cs="宋体"/>
          <w:kern w:val="0"/>
          <w:sz w:val="24"/>
          <w:szCs w:val="24"/>
          <w:highlight w:val="yellow"/>
        </w:rPr>
        <w:t>《中华人民共和国企业所得税年度纳税申报表（A类，2017年版）》</w:t>
      </w:r>
      <w:r>
        <w:rPr>
          <w:rFonts w:hint="eastAsia" w:ascii="宋体" w:hAnsi="宋体" w:eastAsia="宋体" w:cs="宋体"/>
          <w:kern w:val="0"/>
          <w:sz w:val="24"/>
          <w:szCs w:val="24"/>
        </w:rPr>
        <w:t>及其他有关资料，进行年度纳税申报。</w:t>
      </w:r>
    </w:p>
    <w:p w14:paraId="06499470"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snapToGrid/>
        <w:spacing w:before="157" w:beforeLines="50" w:after="157" w:afterLines="50" w:line="360" w:lineRule="auto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二、</w:t>
      </w:r>
      <w:r>
        <w:rPr>
          <w:rFonts w:hint="eastAsia" w:ascii="宋体" w:hAnsi="宋体" w:eastAsia="宋体" w:cs="宋体"/>
          <w:b/>
          <w:sz w:val="24"/>
          <w:szCs w:val="24"/>
        </w:rPr>
        <w:t>办理流程</w:t>
      </w:r>
    </w:p>
    <w:p w14:paraId="3A48572E">
      <w:pPr>
        <w:pageBreakBefore w:val="0"/>
        <w:kinsoku/>
        <w:wordWrap/>
        <w:overflowPunct/>
        <w:topLinePunct w:val="0"/>
        <w:autoSpaceDE/>
        <w:autoSpaceDN/>
        <w:bidi w:val="0"/>
        <w:snapToGrid/>
        <w:spacing w:before="157" w:beforeLines="50" w:after="157" w:afterLines="50"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1.进入居民企业（查账征收）企业所得税年度申报。</w:t>
      </w:r>
    </w:p>
    <w:p w14:paraId="69EC4C73">
      <w:pPr>
        <w:pageBreakBefore w:val="0"/>
        <w:kinsoku/>
        <w:wordWrap/>
        <w:overflowPunct/>
        <w:topLinePunct w:val="0"/>
        <w:autoSpaceDE/>
        <w:autoSpaceDN/>
        <w:bidi w:val="0"/>
        <w:snapToGrid/>
        <w:spacing w:before="157" w:beforeLines="50" w:after="157" w:afterLines="50"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2.填报基本信息、表单选择、填报报表、提交报表。</w:t>
      </w:r>
    </w:p>
    <w:p w14:paraId="3724B9DD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snapToGrid/>
        <w:spacing w:before="157" w:beforeLines="50" w:after="157" w:afterLines="50" w:line="360" w:lineRule="auto"/>
        <w:ind w:left="0" w:leftChars="0"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3.缴纳税款，办结流程。</w:t>
      </w:r>
    </w:p>
    <w:p w14:paraId="38905267"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snapToGrid/>
        <w:spacing w:before="157" w:beforeLines="50" w:after="157" w:afterLines="50" w:line="360" w:lineRule="auto"/>
        <w:rPr>
          <w:rFonts w:hint="eastAsia" w:ascii="宋体" w:hAnsi="宋体" w:eastAsia="宋体" w:cs="宋体"/>
          <w:b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三、视频讲解</w:t>
      </w:r>
    </w:p>
    <w:p w14:paraId="33B95349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snapToGrid/>
        <w:spacing w:before="157" w:beforeLines="50" w:after="157" w:afterLines="50" w:line="360" w:lineRule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网址：</w:t>
      </w:r>
    </w:p>
    <w:p w14:paraId="2CE7694E">
      <w:pPr>
        <w:pageBreakBefore w:val="0"/>
        <w:kinsoku/>
        <w:wordWrap/>
        <w:overflowPunct/>
        <w:topLinePunct w:val="0"/>
        <w:autoSpaceDE/>
        <w:autoSpaceDN/>
        <w:bidi w:val="0"/>
        <w:snapToGrid/>
        <w:spacing w:before="157" w:beforeLines="50" w:after="157" w:afterLines="50"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  <w:lang w:eastAsia="zh-CN"/>
        </w:rPr>
        <w:instrText xml:space="preserve"> HYPERLINK "https://cdn.jiangsu.chinatax.gov.cn/etax/u/nsrxt/www/202404/23104731kvba.mp4" </w:instrText>
      </w:r>
      <w:r>
        <w:rPr>
          <w:rFonts w:hint="eastAsia" w:ascii="宋体" w:hAnsi="宋体" w:eastAsia="宋体" w:cs="宋体"/>
          <w:sz w:val="24"/>
          <w:szCs w:val="24"/>
          <w:lang w:eastAsia="zh-CN"/>
        </w:rPr>
        <w:fldChar w:fldCharType="separate"/>
      </w:r>
      <w:r>
        <w:rPr>
          <w:rStyle w:val="13"/>
          <w:rFonts w:hint="eastAsia" w:ascii="宋体" w:hAnsi="宋体" w:eastAsia="宋体" w:cs="宋体"/>
          <w:sz w:val="24"/>
          <w:szCs w:val="24"/>
          <w:lang w:eastAsia="zh-CN"/>
        </w:rPr>
        <w:t>https://cdn.jiangsu.chinatax.gov.cn/etax/u/nsrxt/www/202404/23104731kvba.mp4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fldChar w:fldCharType="end"/>
      </w:r>
    </w:p>
    <w:p w14:paraId="3C3C1F40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snapToGrid/>
        <w:spacing w:before="157" w:beforeLines="50" w:after="157" w:afterLines="50" w:line="360" w:lineRule="auto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1E7A4369"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snapToGrid/>
        <w:spacing w:before="157" w:beforeLines="50" w:after="157" w:afterLines="50" w:line="360" w:lineRule="auto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四</w:t>
      </w:r>
      <w:r>
        <w:rPr>
          <w:rFonts w:hint="eastAsia" w:ascii="宋体" w:hAnsi="宋体" w:eastAsia="宋体" w:cs="宋体"/>
          <w:b/>
          <w:sz w:val="24"/>
          <w:szCs w:val="24"/>
        </w:rPr>
        <w:t>、功能路径</w:t>
      </w:r>
    </w:p>
    <w:p w14:paraId="091E793A">
      <w:pPr>
        <w:pageBreakBefore w:val="0"/>
        <w:kinsoku/>
        <w:wordWrap/>
        <w:overflowPunct/>
        <w:topLinePunct w:val="0"/>
        <w:autoSpaceDE/>
        <w:autoSpaceDN/>
        <w:bidi w:val="0"/>
        <w:snapToGrid/>
        <w:spacing w:before="157" w:beforeLines="50" w:after="157" w:afterLines="50" w:line="360" w:lineRule="auto"/>
        <w:ind w:firstLine="480" w:firstLineChars="200"/>
        <w:rPr>
          <w:rFonts w:hint="eastAsia"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bCs/>
          <w:sz w:val="24"/>
          <w:szCs w:val="24"/>
        </w:rPr>
        <w:t>1.【我要办税】-【税费申报及缴纳】-【居民企业(查账征收)企业所得税年度申报】</w:t>
      </w:r>
    </w:p>
    <w:p w14:paraId="3479A904">
      <w:pPr>
        <w:pageBreakBefore w:val="0"/>
        <w:kinsoku/>
        <w:wordWrap/>
        <w:overflowPunct/>
        <w:topLinePunct w:val="0"/>
        <w:autoSpaceDE/>
        <w:autoSpaceDN/>
        <w:bidi w:val="0"/>
        <w:snapToGrid/>
        <w:spacing w:before="157" w:beforeLines="50" w:after="157" w:afterLines="50" w:line="360" w:lineRule="auto"/>
        <w:ind w:firstLine="480" w:firstLineChars="200"/>
        <w:rPr>
          <w:rFonts w:hint="eastAsia" w:ascii="宋体" w:hAnsi="宋体" w:eastAsia="宋体" w:cs="宋体"/>
          <w:bCs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bCs/>
          <w:sz w:val="24"/>
          <w:szCs w:val="24"/>
          <w:shd w:val="clear" w:color="auto" w:fill="FFFFFF"/>
        </w:rPr>
        <w:t>2.本期应申报提醒进入功能</w:t>
      </w:r>
    </w:p>
    <w:p w14:paraId="51A32CE5">
      <w:pPr>
        <w:pageBreakBefore w:val="0"/>
        <w:kinsoku/>
        <w:wordWrap/>
        <w:overflowPunct/>
        <w:topLinePunct w:val="0"/>
        <w:autoSpaceDE/>
        <w:autoSpaceDN/>
        <w:bidi w:val="0"/>
        <w:snapToGrid/>
        <w:spacing w:before="157" w:beforeLines="50" w:after="157" w:afterLines="50"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Cs/>
          <w:sz w:val="24"/>
          <w:szCs w:val="24"/>
          <w:shd w:val="clear" w:color="auto" w:fill="FFFFFF"/>
        </w:rPr>
        <w:t>3.搜索框直接搜索“</w:t>
      </w:r>
      <w:r>
        <w:rPr>
          <w:rFonts w:hint="eastAsia" w:ascii="宋体" w:hAnsi="宋体" w:eastAsia="宋体" w:cs="宋体"/>
          <w:bCs/>
          <w:sz w:val="24"/>
          <w:szCs w:val="24"/>
        </w:rPr>
        <w:t>居民企业(查账征收)企业所得税年度申报</w:t>
      </w:r>
      <w:r>
        <w:rPr>
          <w:rFonts w:hint="eastAsia" w:ascii="宋体" w:hAnsi="宋体" w:eastAsia="宋体" w:cs="宋体"/>
          <w:bCs/>
          <w:sz w:val="24"/>
          <w:szCs w:val="24"/>
          <w:shd w:val="clear" w:color="auto" w:fill="FFFFFF"/>
        </w:rPr>
        <w:t>”</w:t>
      </w:r>
    </w:p>
    <w:p w14:paraId="07F2573A"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snapToGrid/>
        <w:spacing w:before="157" w:beforeLines="50" w:after="157" w:afterLines="50" w:line="360" w:lineRule="auto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五</w:t>
      </w:r>
      <w:r>
        <w:rPr>
          <w:rFonts w:hint="eastAsia" w:ascii="宋体" w:hAnsi="宋体" w:eastAsia="宋体" w:cs="宋体"/>
          <w:b/>
          <w:sz w:val="24"/>
          <w:szCs w:val="24"/>
        </w:rPr>
        <w:t>、操作步骤</w:t>
      </w:r>
    </w:p>
    <w:p w14:paraId="16B0EFA5">
      <w:pPr>
        <w:pageBreakBefore w:val="0"/>
        <w:kinsoku/>
        <w:wordWrap/>
        <w:overflowPunct/>
        <w:topLinePunct w:val="0"/>
        <w:autoSpaceDE/>
        <w:autoSpaceDN/>
        <w:bidi w:val="0"/>
        <w:snapToGrid/>
        <w:spacing w:before="157" w:beforeLines="50" w:after="157" w:afterLines="50"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温馨提示：建议纳税人在征收期内先报送财务报表，再申报同期企业所得税。</w:t>
      </w:r>
    </w:p>
    <w:p w14:paraId="4463445B">
      <w:pPr>
        <w:pageBreakBefore w:val="0"/>
        <w:kinsoku/>
        <w:wordWrap/>
        <w:overflowPunct/>
        <w:topLinePunct w:val="0"/>
        <w:autoSpaceDE/>
        <w:autoSpaceDN/>
        <w:bidi w:val="0"/>
        <w:snapToGrid/>
        <w:spacing w:before="157" w:beforeLines="50" w:after="157" w:afterLines="50"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1.纳税人可以通过以下两种方式进入申报界面</w:t>
      </w:r>
    </w:p>
    <w:p w14:paraId="3B11F0E4">
      <w:pPr>
        <w:pageBreakBefore w:val="0"/>
        <w:kinsoku/>
        <w:wordWrap/>
        <w:overflowPunct/>
        <w:topLinePunct w:val="0"/>
        <w:autoSpaceDE/>
        <w:autoSpaceDN/>
        <w:bidi w:val="0"/>
        <w:snapToGrid/>
        <w:spacing w:before="157" w:beforeLines="50" w:after="157" w:afterLines="50"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（1）点击【我要办税】——【税费申报及缴纳】，选择【居民企业（查账征收）企业所得税年度申报】进入申报界面：</w:t>
      </w:r>
    </w:p>
    <w:p w14:paraId="128C10AE">
      <w:pPr>
        <w:pageBreakBefore w:val="0"/>
        <w:kinsoku/>
        <w:wordWrap/>
        <w:overflowPunct/>
        <w:topLinePunct w:val="0"/>
        <w:autoSpaceDE/>
        <w:autoSpaceDN/>
        <w:bidi w:val="0"/>
        <w:snapToGrid/>
        <w:spacing w:before="157" w:beforeLines="50" w:after="157" w:afterLines="50"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4310" cy="2245360"/>
            <wp:effectExtent l="0" t="0" r="2540" b="254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E2E7E">
      <w:pPr>
        <w:pageBreakBefore w:val="0"/>
        <w:kinsoku/>
        <w:wordWrap/>
        <w:overflowPunct/>
        <w:topLinePunct w:val="0"/>
        <w:autoSpaceDE/>
        <w:autoSpaceDN/>
        <w:bidi w:val="0"/>
        <w:snapToGrid/>
        <w:spacing w:before="157" w:beforeLines="50" w:after="157" w:afterLines="50"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（2）也可以直接在【我的待办】中进行申报</w:t>
      </w:r>
    </w:p>
    <w:p w14:paraId="1BDFD265">
      <w:pPr>
        <w:pageBreakBefore w:val="0"/>
        <w:kinsoku/>
        <w:wordWrap/>
        <w:overflowPunct/>
        <w:topLinePunct w:val="0"/>
        <w:autoSpaceDE/>
        <w:autoSpaceDN/>
        <w:bidi w:val="0"/>
        <w:snapToGrid/>
        <w:spacing w:before="157" w:beforeLines="50" w:after="157" w:afterLines="50"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9230" cy="2129155"/>
            <wp:effectExtent l="0" t="0" r="762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C5A25">
      <w:pPr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napToGrid/>
        <w:spacing w:before="157" w:beforeLines="50" w:after="157" w:afterLines="50"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居民企业(查账征收)企业所得税年度申报分为四个操作步骤：填报基本信息、表单选择、填报报表、提交报表。如下图：</w:t>
      </w:r>
    </w:p>
    <w:p w14:paraId="582CEFBB">
      <w:pPr>
        <w:pageBreakBefore w:val="0"/>
        <w:kinsoku/>
        <w:wordWrap/>
        <w:overflowPunct/>
        <w:topLinePunct w:val="0"/>
        <w:autoSpaceDE/>
        <w:autoSpaceDN/>
        <w:bidi w:val="0"/>
        <w:snapToGrid/>
        <w:spacing w:before="157" w:beforeLines="50" w:after="157" w:afterLines="50"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454910"/>
            <wp:effectExtent l="0" t="0" r="10160" b="2540"/>
            <wp:docPr id="5" name="图片 5" descr="1711420083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1142008344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BFAC9">
      <w:pPr>
        <w:pageBreakBefore w:val="0"/>
        <w:kinsoku/>
        <w:wordWrap/>
        <w:overflowPunct/>
        <w:topLinePunct w:val="0"/>
        <w:autoSpaceDE/>
        <w:autoSpaceDN/>
        <w:bidi w:val="0"/>
        <w:snapToGrid/>
        <w:spacing w:before="157" w:beforeLines="50" w:after="157" w:afterLines="50"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3、进入功能后首先显示企业基本信息填报界面，基本信息包括：基本经营情况、有关涉税事项情况、主要股东及分红情况。</w:t>
      </w:r>
    </w:p>
    <w:p w14:paraId="3D40475D">
      <w:pPr>
        <w:pageBreakBefore w:val="0"/>
        <w:kinsoku/>
        <w:wordWrap/>
        <w:overflowPunct/>
        <w:topLinePunct w:val="0"/>
        <w:autoSpaceDE/>
        <w:autoSpaceDN/>
        <w:bidi w:val="0"/>
        <w:snapToGrid/>
        <w:spacing w:before="157" w:beforeLines="50" w:after="157" w:afterLines="50"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（1）基本经营情况根据企业登记、财务会计制度备案等信息自动带出，纳税人根据实际情况进行调整。如下图：</w:t>
      </w:r>
    </w:p>
    <w:p w14:paraId="4CBD1D56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snapToGrid/>
        <w:spacing w:before="157" w:beforeLines="50" w:after="157" w:afterLines="50" w:line="360" w:lineRule="auto"/>
        <w:ind w:left="0" w:left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3040" cy="944880"/>
            <wp:effectExtent l="0" t="0" r="3810" b="7620"/>
            <wp:docPr id="6" name="图片 6" descr="1711420260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11420260710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9BDBC">
      <w:pPr>
        <w:pageBreakBefore w:val="0"/>
        <w:kinsoku/>
        <w:wordWrap/>
        <w:overflowPunct/>
        <w:topLinePunct w:val="0"/>
        <w:autoSpaceDE/>
        <w:autoSpaceDN/>
        <w:bidi w:val="0"/>
        <w:snapToGrid/>
        <w:spacing w:before="157" w:beforeLines="50" w:after="157" w:afterLines="50"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（2）有关涉税事项情况由企业根据实际情况进行填报，如企业属于高新技术企业则可在对应栏次填写相应的信息。如下图：</w:t>
      </w:r>
    </w:p>
    <w:p w14:paraId="00C49E82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snapToGrid/>
        <w:spacing w:before="157" w:beforeLines="50" w:after="157" w:afterLines="50" w:line="360" w:lineRule="auto"/>
        <w:ind w:left="0" w:left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0500" cy="1333500"/>
            <wp:effectExtent l="0" t="0" r="6350" b="0"/>
            <wp:docPr id="8" name="图片 8" descr="1711420494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1142049464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3787C">
      <w:pPr>
        <w:pageBreakBefore w:val="0"/>
        <w:kinsoku/>
        <w:wordWrap/>
        <w:overflowPunct/>
        <w:topLinePunct w:val="0"/>
        <w:autoSpaceDE/>
        <w:autoSpaceDN/>
        <w:bidi w:val="0"/>
        <w:snapToGrid/>
        <w:spacing w:before="157" w:beforeLines="50" w:after="157" w:afterLines="50"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（3）主要股东及分红情况根据企业登记信息自动带出，纳税人根据实际情况进行调整。如下图：</w:t>
      </w:r>
    </w:p>
    <w:p w14:paraId="5567C839">
      <w:pPr>
        <w:pageBreakBefore w:val="0"/>
        <w:kinsoku/>
        <w:wordWrap/>
        <w:overflowPunct/>
        <w:topLinePunct w:val="0"/>
        <w:autoSpaceDE/>
        <w:autoSpaceDN/>
        <w:bidi w:val="0"/>
        <w:snapToGrid/>
        <w:spacing w:before="157" w:beforeLines="50" w:after="157" w:afterLines="50"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67325" cy="1000125"/>
            <wp:effectExtent l="19050" t="0" r="9525" b="0"/>
            <wp:docPr id="4" name="图片 1" descr="C:\Users\Administrator\Desktop\如何在新电子税务局办理居民企业（查账征收）企业所得税年度纳税申报？.files\image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C:\Users\Administrator\Desktop\如何在新电子税务局办理居民企业（查账征收）企业所得税年度纳税申报？.files\image01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01CE33">
      <w:pPr>
        <w:pageBreakBefore w:val="0"/>
        <w:kinsoku/>
        <w:wordWrap/>
        <w:overflowPunct/>
        <w:topLinePunct w:val="0"/>
        <w:autoSpaceDE/>
        <w:autoSpaceDN/>
        <w:bidi w:val="0"/>
        <w:snapToGrid/>
        <w:spacing w:before="157" w:beforeLines="50" w:after="157" w:afterLines="50"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（4）如企业保存基本信息，尚未完成申报而又变更登记信息如变更行业等，可点击【获取初始化数据】按钮更新企业基本信息。如下图：</w:t>
      </w:r>
    </w:p>
    <w:p w14:paraId="42EC91DB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snapToGrid/>
        <w:spacing w:before="157" w:beforeLines="50" w:after="157" w:afterLines="50" w:line="360" w:lineRule="auto"/>
        <w:ind w:left="0" w:left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1135" cy="2538730"/>
            <wp:effectExtent l="0" t="0" r="5715" b="13970"/>
            <wp:docPr id="12" name="图片 12" descr="1711421510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711421510377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3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2C319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snapToGrid/>
        <w:spacing w:before="157" w:beforeLines="50" w:after="157" w:afterLines="50" w:line="360" w:lineRule="auto"/>
        <w:ind w:left="0" w:leftChars="0" w:firstLine="480" w:firstLineChars="200"/>
        <w:rPr>
          <w:rFonts w:hint="eastAsia" w:ascii="宋体" w:hAnsi="宋体" w:eastAsia="宋体" w:cs="宋体"/>
          <w:color w:val="000000"/>
          <w:spacing w:val="15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sz w:val="24"/>
          <w:szCs w:val="24"/>
        </w:rPr>
        <w:t>3、</w:t>
      </w:r>
      <w:r>
        <w:rPr>
          <w:rFonts w:hint="eastAsia" w:ascii="宋体" w:hAnsi="宋体" w:eastAsia="宋体" w:cs="宋体"/>
          <w:color w:val="000000"/>
          <w:spacing w:val="15"/>
          <w:sz w:val="24"/>
          <w:szCs w:val="24"/>
          <w:shd w:val="clear" w:color="auto" w:fill="FFFFFF"/>
        </w:rPr>
        <w:t>点击界面下方【下一步】进入到申报表表单填写界面，根据您的业务进行表单选择：</w:t>
      </w:r>
    </w:p>
    <w:p w14:paraId="45244705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snapToGrid/>
        <w:spacing w:before="157" w:beforeLines="50" w:after="157" w:afterLines="50" w:line="360" w:lineRule="auto"/>
        <w:ind w:left="0" w:left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2880" cy="2529205"/>
            <wp:effectExtent l="0" t="0" r="13970" b="4445"/>
            <wp:docPr id="14" name="图片 14" descr="1711422006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711422006963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2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48C8B">
      <w:pPr>
        <w:pageBreakBefore w:val="0"/>
        <w:kinsoku/>
        <w:wordWrap/>
        <w:overflowPunct/>
        <w:topLinePunct w:val="0"/>
        <w:autoSpaceDE/>
        <w:autoSpaceDN/>
        <w:bidi w:val="0"/>
        <w:snapToGrid/>
        <w:spacing w:before="157" w:beforeLines="50" w:after="157" w:afterLines="50"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注：表单选择界面A000000、A100000、A106000为必报表，其他表单根据企业基本信息系统进行默认勾选。如纳税人为一般企业可选择A101010、A102010表，不可勾选金融企业、事业单位、民间非营利组织相关表单；如企业为总机构，则默认勾选A109000、A109010表；如企业基础信息表填写了高新技术企业信息，则默认勾选A107041、A107040表。</w:t>
      </w:r>
    </w:p>
    <w:p w14:paraId="6A7FFABF">
      <w:pPr>
        <w:pageBreakBefore w:val="0"/>
        <w:kinsoku/>
        <w:wordWrap/>
        <w:overflowPunct/>
        <w:topLinePunct w:val="0"/>
        <w:autoSpaceDE/>
        <w:autoSpaceDN/>
        <w:bidi w:val="0"/>
        <w:snapToGrid/>
        <w:spacing w:before="157" w:beforeLines="50" w:after="157" w:afterLines="50"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4、表单选择完成后，点击</w:t>
      </w:r>
      <w:r>
        <w:rPr>
          <w:rFonts w:hint="eastAsia" w:ascii="宋体" w:hAnsi="宋体" w:eastAsia="宋体" w:cs="宋体"/>
          <w:color w:val="000000"/>
          <w:spacing w:val="15"/>
          <w:sz w:val="24"/>
          <w:szCs w:val="24"/>
          <w:shd w:val="clear" w:color="auto" w:fill="FFFFFF"/>
        </w:rPr>
        <w:t>【下一步】</w:t>
      </w:r>
      <w:r>
        <w:rPr>
          <w:rFonts w:hint="eastAsia" w:ascii="宋体" w:hAnsi="宋体" w:eastAsia="宋体" w:cs="宋体"/>
          <w:sz w:val="24"/>
          <w:szCs w:val="24"/>
        </w:rPr>
        <w:t>按钮进入报表填报界面。在左侧报表列表点击报表名称可切换至对应的申报表，并按实际情况及页面要求填写表单。如下图：</w:t>
      </w:r>
    </w:p>
    <w:p w14:paraId="2E4A8F1E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snapToGrid/>
        <w:spacing w:before="157" w:beforeLines="50" w:after="157" w:afterLines="50" w:line="360" w:lineRule="auto"/>
        <w:ind w:left="0" w:left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0500" cy="2493645"/>
            <wp:effectExtent l="0" t="0" r="6350" b="1905"/>
            <wp:docPr id="16" name="图片 16" descr="1711433573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711433573575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625BB">
      <w:pPr>
        <w:pageBreakBefore w:val="0"/>
        <w:kinsoku/>
        <w:wordWrap/>
        <w:overflowPunct/>
        <w:topLinePunct w:val="0"/>
        <w:autoSpaceDE/>
        <w:autoSpaceDN/>
        <w:bidi w:val="0"/>
        <w:snapToGrid/>
        <w:spacing w:before="157" w:beforeLines="50" w:after="157" w:afterLines="50"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1）若企业为小型微利企业，已报送同期财务报表，则系统自动获取利润表“营业收入”、“营业成本”、“税金及附加”、“销售费用”“管理费用”、“财务费用”、“资产减值损失”、“投资收益”、“营业外收入”、“营业外支出”，预填到居民企业（查账征收）企业所得税年度申报表单对应行，纳税人也可对预填的数据进行修改，如下图：</w:t>
      </w:r>
    </w:p>
    <w:p w14:paraId="26B4D1B0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snapToGrid/>
        <w:spacing w:before="157" w:beforeLines="50" w:after="157" w:afterLines="50" w:line="360" w:lineRule="auto"/>
        <w:ind w:left="0" w:left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7325" cy="2533650"/>
            <wp:effectExtent l="0" t="0" r="9525" b="0"/>
            <wp:docPr id="17" name="图片 17" descr="1711433702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711433702728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2C553">
      <w:pPr>
        <w:pageBreakBefore w:val="0"/>
        <w:kinsoku/>
        <w:wordWrap/>
        <w:overflowPunct/>
        <w:topLinePunct w:val="0"/>
        <w:autoSpaceDE/>
        <w:autoSpaceDN/>
        <w:bidi w:val="0"/>
        <w:snapToGrid/>
        <w:spacing w:before="157" w:beforeLines="50" w:after="157" w:afterLines="50"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非小型微利企业根据附表预填各项数据。</w:t>
      </w:r>
    </w:p>
    <w:p w14:paraId="17923655">
      <w:pPr>
        <w:pageBreakBefore w:val="0"/>
        <w:kinsoku/>
        <w:wordWrap/>
        <w:overflowPunct/>
        <w:topLinePunct w:val="0"/>
        <w:autoSpaceDE/>
        <w:autoSpaceDN/>
        <w:bidi w:val="0"/>
        <w:snapToGrid/>
        <w:spacing w:before="157" w:beforeLines="50" w:after="157" w:afterLines="50"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（2）纳税人填报数据时可点击右上方【暂存】按钮对填报的数据进行保存。</w:t>
      </w:r>
    </w:p>
    <w:p w14:paraId="79A7B1C5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snapToGrid/>
        <w:spacing w:before="157" w:beforeLines="50" w:after="157" w:afterLines="50" w:line="360" w:lineRule="auto"/>
        <w:ind w:left="0" w:left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1224280"/>
            <wp:effectExtent l="0" t="0" r="10160" b="13970"/>
            <wp:docPr id="18" name="图片 18" descr="1711433844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711433844004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2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59647">
      <w:pPr>
        <w:pageBreakBefore w:val="0"/>
        <w:kinsoku/>
        <w:wordWrap/>
        <w:overflowPunct/>
        <w:topLinePunct w:val="0"/>
        <w:autoSpaceDE/>
        <w:autoSpaceDN/>
        <w:bidi w:val="0"/>
        <w:snapToGrid/>
        <w:spacing w:before="157" w:beforeLines="50" w:after="157" w:afterLines="50"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（3）如纳税人需清除填报的数据可点击右上角【重置】按钮，清空所有申报表的已填数据，并重新初始化申报表。如下图：</w:t>
      </w:r>
    </w:p>
    <w:p w14:paraId="6BC1C6F9">
      <w:pPr>
        <w:pageBreakBefore w:val="0"/>
        <w:kinsoku/>
        <w:wordWrap/>
        <w:overflowPunct/>
        <w:topLinePunct w:val="0"/>
        <w:autoSpaceDE/>
        <w:autoSpaceDN/>
        <w:bidi w:val="0"/>
        <w:snapToGrid/>
        <w:spacing w:before="157" w:beforeLines="50" w:after="157" w:afterLines="50"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1530350"/>
            <wp:effectExtent l="0" t="0" r="10160" b="12700"/>
            <wp:docPr id="19" name="图片 19" descr="1711433917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711433917147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BC9DD">
      <w:pPr>
        <w:pageBreakBefore w:val="0"/>
        <w:kinsoku/>
        <w:wordWrap/>
        <w:overflowPunct/>
        <w:topLinePunct w:val="0"/>
        <w:autoSpaceDE/>
        <w:autoSpaceDN/>
        <w:bidi w:val="0"/>
        <w:snapToGrid/>
        <w:spacing w:before="157" w:beforeLines="50" w:after="157" w:afterLines="50"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（4）如纳税人填报数据存在阻断性错误，在点击【提交申报】按钮时在右侧弹出错误提示，纳税人需根据提示对报表进行调整。</w:t>
      </w:r>
    </w:p>
    <w:p w14:paraId="76FF2AB5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snapToGrid/>
        <w:spacing w:before="157" w:beforeLines="50" w:after="157" w:afterLines="50" w:line="360" w:lineRule="auto"/>
        <w:ind w:left="0" w:left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9230" cy="1463675"/>
            <wp:effectExtent l="0" t="0" r="7620" b="3175"/>
            <wp:docPr id="20" name="图片 20" descr="1711434165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711434165332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6F847">
      <w:pPr>
        <w:pageBreakBefore w:val="0"/>
        <w:kinsoku/>
        <w:wordWrap/>
        <w:overflowPunct/>
        <w:topLinePunct w:val="0"/>
        <w:autoSpaceDE/>
        <w:autoSpaceDN/>
        <w:bidi w:val="0"/>
        <w:snapToGrid/>
        <w:spacing w:before="157" w:beforeLines="50" w:after="157" w:afterLines="50" w:line="360" w:lineRule="auto"/>
        <w:ind w:firstLine="480" w:firstLineChars="200"/>
        <w:rPr>
          <w:rFonts w:hint="eastAsia" w:ascii="宋体" w:hAnsi="宋体" w:eastAsia="宋体" w:cs="宋体"/>
          <w:color w:val="000000"/>
          <w:spacing w:val="15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spacing w:val="0"/>
          <w:sz w:val="24"/>
          <w:szCs w:val="24"/>
          <w:shd w:val="clear" w:color="auto" w:fill="FFFFFF"/>
        </w:rPr>
        <w:t>（5）所有申报数据确认无误后，点击右下角【提交申报】按钮，进行申报。表单中黄色为不符合逻辑的提示项目，不强制修改；红色为强制不符事项，必须修改后才能保存</w:t>
      </w:r>
      <w:r>
        <w:rPr>
          <w:rFonts w:hint="eastAsia" w:ascii="宋体" w:hAnsi="宋体" w:eastAsia="宋体" w:cs="宋体"/>
          <w:color w:val="000000"/>
          <w:spacing w:val="15"/>
          <w:sz w:val="24"/>
          <w:szCs w:val="24"/>
          <w:shd w:val="clear" w:color="auto" w:fill="FFFFFF"/>
        </w:rPr>
        <w:t>。</w:t>
      </w:r>
    </w:p>
    <w:p w14:paraId="3BF538A3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snapToGrid/>
        <w:spacing w:before="157" w:beforeLines="50" w:after="157" w:afterLines="50" w:line="360" w:lineRule="auto"/>
        <w:ind w:left="0" w:left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81295" cy="1520190"/>
            <wp:effectExtent l="0" t="0" r="14605" b="3810"/>
            <wp:docPr id="21" name="图片 21" descr="1711434428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711434428827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1295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81295" cy="1588135"/>
            <wp:effectExtent l="0" t="0" r="14605" b="12065"/>
            <wp:docPr id="22" name="图片 22" descr="1711434493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711434493336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1295" cy="158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DC482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snapToGrid/>
        <w:spacing w:before="157" w:beforeLines="50" w:after="157" w:afterLines="50" w:line="360" w:lineRule="auto"/>
        <w:ind w:left="0" w:leftChars="0"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（6）报表填报完成且数据校验无误后点击【提交申报】按钮。系统提示是否需要进行风险提示服务。</w:t>
      </w:r>
    </w:p>
    <w:p w14:paraId="5610425A">
      <w:pPr>
        <w:pageBreakBefore w:val="0"/>
        <w:kinsoku/>
        <w:wordWrap/>
        <w:overflowPunct/>
        <w:topLinePunct w:val="0"/>
        <w:autoSpaceDE/>
        <w:autoSpaceDN/>
        <w:bidi w:val="0"/>
        <w:snapToGrid/>
        <w:spacing w:before="157" w:beforeLines="50" w:after="157" w:afterLines="50"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建议：为减少您的涉税风险，请您接受“风险提示服务”。请认真核实风险提示信息，如确属风险，请您参照提示信息修改申报内容。</w:t>
      </w:r>
    </w:p>
    <w:p w14:paraId="491C95EB">
      <w:pPr>
        <w:pageBreakBefore w:val="0"/>
        <w:kinsoku/>
        <w:wordWrap/>
        <w:overflowPunct/>
        <w:topLinePunct w:val="0"/>
        <w:autoSpaceDE/>
        <w:autoSpaceDN/>
        <w:bidi w:val="0"/>
        <w:snapToGrid/>
        <w:spacing w:before="157" w:beforeLines="50" w:after="157" w:afterLines="50" w:line="360" w:lineRule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drawing>
          <wp:inline distT="0" distB="0" distL="114300" distR="114300">
            <wp:extent cx="5273675" cy="2520315"/>
            <wp:effectExtent l="0" t="0" r="3175" b="13335"/>
            <wp:docPr id="23" name="图片 23" descr="171143473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711434730063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30EDB">
      <w:pPr>
        <w:pageBreakBefore w:val="0"/>
        <w:kinsoku/>
        <w:wordWrap/>
        <w:overflowPunct/>
        <w:topLinePunct w:val="0"/>
        <w:autoSpaceDE/>
        <w:autoSpaceDN/>
        <w:bidi w:val="0"/>
        <w:snapToGrid/>
        <w:spacing w:before="157" w:beforeLines="50" w:after="157" w:afterLines="50"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纳税人可点击【风险提示服务】按钮进行风险扫描，系统反馈风险扫描结果，纳税人可点击【修改表单】对报表进行修改，也可点击【继续申报】按钮提交申报。如下图：</w:t>
      </w:r>
    </w:p>
    <w:p w14:paraId="7E8B71C7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snapToGrid/>
        <w:spacing w:before="157" w:beforeLines="50" w:after="157" w:afterLines="50" w:line="360" w:lineRule="auto"/>
        <w:ind w:left="0" w:leftChars="0"/>
        <w:rPr>
          <w:rFonts w:hint="eastAsia" w:ascii="宋体" w:hAnsi="宋体" w:eastAsia="宋体" w:cs="宋体"/>
          <w:color w:val="000000"/>
          <w:spacing w:val="15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spacing w:val="15"/>
          <w:sz w:val="24"/>
          <w:szCs w:val="24"/>
          <w:shd w:val="clear" w:color="auto" w:fill="FFFFFF"/>
        </w:rPr>
        <w:drawing>
          <wp:inline distT="0" distB="0" distL="114300" distR="114300">
            <wp:extent cx="5271135" cy="2654935"/>
            <wp:effectExtent l="19050" t="0" r="5715" b="0"/>
            <wp:docPr id="26" name="图片 26" descr="1711435218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711435218780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35DD0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snapToGrid/>
        <w:spacing w:before="157" w:beforeLines="50" w:after="157" w:afterLines="50" w:line="360" w:lineRule="auto"/>
        <w:ind w:left="0" w:leftChars="0" w:firstLine="480" w:firstLineChars="200"/>
        <w:rPr>
          <w:rFonts w:hint="eastAsia" w:ascii="宋体" w:hAnsi="宋体" w:eastAsia="宋体" w:cs="宋体"/>
          <w:color w:val="000000"/>
          <w:spacing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spacing w:val="0"/>
          <w:sz w:val="24"/>
          <w:szCs w:val="24"/>
          <w:shd w:val="clear" w:color="auto" w:fill="FFFFFF"/>
        </w:rPr>
        <w:t>点击【继续申报】，系统会出现信息确认，请您依次选择“真”、“实”、“责”、“任”4个字，点击【确定】完成申报。</w:t>
      </w:r>
    </w:p>
    <w:p w14:paraId="6ABC9932">
      <w:pPr>
        <w:pageBreakBefore w:val="0"/>
        <w:kinsoku/>
        <w:wordWrap/>
        <w:overflowPunct/>
        <w:topLinePunct w:val="0"/>
        <w:autoSpaceDE/>
        <w:autoSpaceDN/>
        <w:bidi w:val="0"/>
        <w:snapToGrid/>
        <w:spacing w:before="157" w:beforeLines="50" w:after="157" w:afterLines="50"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2880" cy="2590800"/>
            <wp:effectExtent l="0" t="0" r="13970" b="0"/>
            <wp:docPr id="24" name="图片 24" descr="1711434953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711434953506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0F5A9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snapToGrid/>
        <w:spacing w:before="157" w:beforeLines="50" w:after="157" w:afterLines="50" w:line="360" w:lineRule="auto"/>
        <w:ind w:left="0" w:leftChars="0" w:firstLine="480" w:firstLineChars="200"/>
        <w:rPr>
          <w:rFonts w:hint="eastAsia" w:ascii="宋体" w:hAnsi="宋体" w:eastAsia="宋体" w:cs="宋体"/>
          <w:sz w:val="24"/>
          <w:szCs w:val="24"/>
        </w:rPr>
      </w:pPr>
      <w:bookmarkStart w:id="0" w:name="_Hlk143101540"/>
      <w:r>
        <w:rPr>
          <w:rFonts w:hint="eastAsia" w:ascii="宋体" w:hAnsi="宋体" w:eastAsia="宋体" w:cs="宋体"/>
          <w:sz w:val="24"/>
          <w:szCs w:val="24"/>
        </w:rPr>
        <w:t>4、申报成功后，可以</w:t>
      </w:r>
      <w:bookmarkEnd w:id="0"/>
      <w:r>
        <w:rPr>
          <w:rFonts w:hint="eastAsia" w:ascii="宋体" w:hAnsi="宋体" w:eastAsia="宋体" w:cs="宋体"/>
          <w:sz w:val="24"/>
          <w:szCs w:val="24"/>
        </w:rPr>
        <w:t>进行立即缴款，完成本次申报涉及的税费款缴纳。如下图：</w:t>
      </w:r>
    </w:p>
    <w:p w14:paraId="55A1455D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snapToGrid/>
        <w:spacing w:before="157" w:beforeLines="50" w:after="157" w:afterLines="50" w:line="360" w:lineRule="auto"/>
        <w:ind w:left="0" w:left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055" cy="2063115"/>
            <wp:effectExtent l="0" t="0" r="10795" b="13335"/>
            <wp:docPr id="27" name="图片 27" descr="1711435648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711435648704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06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CF5D0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snapToGrid/>
        <w:spacing w:before="157" w:beforeLines="50" w:after="157" w:afterLines="50" w:line="360" w:lineRule="auto"/>
        <w:ind w:left="0" w:leftChars="0"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5、跨地区经营汇总纳税企业分支机构企业所得税年度纳税申报</w:t>
      </w:r>
    </w:p>
    <w:p w14:paraId="7B6DF2CB">
      <w:pPr>
        <w:pageBreakBefore w:val="0"/>
        <w:kinsoku/>
        <w:wordWrap/>
        <w:overflowPunct/>
        <w:topLinePunct w:val="0"/>
        <w:autoSpaceDE/>
        <w:autoSpaceDN/>
        <w:bidi w:val="0"/>
        <w:snapToGrid/>
        <w:spacing w:before="157" w:beforeLines="50" w:after="157" w:afterLines="50"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（1）请您通过【我要办税】—【税费申报及缴纳】—【企业所得税申报】—【跨地区经营汇总纳税企业的分支机构年度纳税申报】进入界面。</w:t>
      </w:r>
    </w:p>
    <w:p w14:paraId="2A61FB78">
      <w:pPr>
        <w:pageBreakBefore w:val="0"/>
        <w:kinsoku/>
        <w:wordWrap/>
        <w:overflowPunct/>
        <w:topLinePunct w:val="0"/>
        <w:autoSpaceDE/>
        <w:autoSpaceDN/>
        <w:bidi w:val="0"/>
        <w:snapToGrid/>
        <w:spacing w:before="157" w:beforeLines="50" w:after="157" w:afterLines="50" w:line="360" w:lineRule="auto"/>
        <w:rPr>
          <w:rFonts w:hint="eastAsia" w:ascii="宋体" w:hAnsi="宋体" w:eastAsia="宋体" w:cs="宋体"/>
          <w:color w:val="000000"/>
          <w:spacing w:val="15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2880" cy="2487930"/>
            <wp:effectExtent l="0" t="0" r="7620" b="1270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CFADC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snapToGrid/>
        <w:spacing w:before="157" w:beforeLines="50" w:after="157" w:afterLines="50" w:line="360" w:lineRule="auto"/>
        <w:ind w:left="0" w:leftChars="0" w:firstLine="540" w:firstLineChars="200"/>
        <w:rPr>
          <w:rFonts w:hint="eastAsia" w:ascii="宋体" w:hAnsi="宋体" w:eastAsia="宋体" w:cs="宋体"/>
          <w:color w:val="000000"/>
          <w:spacing w:val="15"/>
          <w:sz w:val="24"/>
          <w:szCs w:val="24"/>
          <w:highlight w:val="yellow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spacing w:val="15"/>
          <w:sz w:val="24"/>
          <w:szCs w:val="24"/>
          <w:shd w:val="clear" w:color="auto" w:fill="FFFFFF"/>
        </w:rPr>
        <w:t>（2）总机构进行年度纳税申报后，分支机构可以进行年度纳税申报，系统会根据总机构申报数据，自动带入分摊比例和分摊的税款。</w:t>
      </w:r>
      <w:r>
        <w:rPr>
          <w:rFonts w:hint="eastAsia" w:ascii="宋体" w:hAnsi="宋体" w:eastAsia="宋体" w:cs="宋体"/>
          <w:color w:val="000000"/>
          <w:spacing w:val="15"/>
          <w:sz w:val="24"/>
          <w:szCs w:val="24"/>
          <w:highlight w:val="yellow"/>
          <w:shd w:val="clear" w:color="auto" w:fill="FFFFFF"/>
        </w:rPr>
        <w:t>如果不能自动带出数据，请您和您的总机构确认在税务机关备案的信息是否准确。</w:t>
      </w:r>
    </w:p>
    <w:p w14:paraId="1E1EF4EF">
      <w:pPr>
        <w:pageBreakBefore w:val="0"/>
        <w:kinsoku/>
        <w:wordWrap/>
        <w:overflowPunct/>
        <w:topLinePunct w:val="0"/>
        <w:autoSpaceDE/>
        <w:autoSpaceDN/>
        <w:bidi w:val="0"/>
        <w:snapToGrid/>
        <w:spacing w:before="157" w:beforeLines="50" w:after="157" w:afterLines="50"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67325" cy="2524125"/>
            <wp:effectExtent l="19050" t="0" r="9525" b="0"/>
            <wp:docPr id="2" name="图片 1" descr="C:\Users\Administrator\Desktop\如何在新电子税务局办理居民企业（查账征收）企业所得税年度纳税申报？.files\image0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Administrator\Desktop\如何在新电子税务局办理居民企业（查账征收）企业所得税年度纳税申报？.files\image041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9B9B16"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snapToGrid/>
        <w:spacing w:before="157" w:beforeLines="50" w:after="157" w:afterLines="50" w:line="360" w:lineRule="auto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六</w:t>
      </w:r>
      <w:r>
        <w:rPr>
          <w:rFonts w:hint="eastAsia" w:ascii="宋体" w:hAnsi="宋体" w:eastAsia="宋体" w:cs="宋体"/>
          <w:b/>
          <w:sz w:val="24"/>
          <w:szCs w:val="24"/>
        </w:rPr>
        <w:t>、报送资料</w:t>
      </w:r>
    </w:p>
    <w:tbl>
      <w:tblPr>
        <w:tblStyle w:val="10"/>
        <w:tblW w:w="0" w:type="auto"/>
        <w:tblInd w:w="9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8"/>
        <w:gridCol w:w="4740"/>
        <w:gridCol w:w="505"/>
        <w:gridCol w:w="469"/>
        <w:gridCol w:w="482"/>
        <w:gridCol w:w="545"/>
        <w:gridCol w:w="559"/>
        <w:gridCol w:w="671"/>
      </w:tblGrid>
      <w:tr w14:paraId="7CA2A0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BEBEBE"/>
            <w:vAlign w:val="center"/>
          </w:tcPr>
          <w:p w14:paraId="12C0F1AE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序号</w:t>
            </w:r>
          </w:p>
        </w:tc>
        <w:tc>
          <w:tcPr>
            <w:tcW w:w="47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BEBEBE"/>
            <w:vAlign w:val="center"/>
          </w:tcPr>
          <w:p w14:paraId="7CFA060B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资料名称</w:t>
            </w:r>
          </w:p>
        </w:tc>
        <w:tc>
          <w:tcPr>
            <w:tcW w:w="5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BEBEBE"/>
            <w:vAlign w:val="center"/>
          </w:tcPr>
          <w:p w14:paraId="6209F610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必报</w:t>
            </w:r>
          </w:p>
        </w:tc>
        <w:tc>
          <w:tcPr>
            <w:tcW w:w="4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BEBEBE"/>
            <w:vAlign w:val="center"/>
          </w:tcPr>
          <w:p w14:paraId="5BE7E271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条件报送</w:t>
            </w:r>
          </w:p>
        </w:tc>
        <w:tc>
          <w:tcPr>
            <w:tcW w:w="5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BEBEBE"/>
            <w:vAlign w:val="center"/>
          </w:tcPr>
          <w:p w14:paraId="098DAD48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归档</w:t>
            </w:r>
          </w:p>
        </w:tc>
        <w:tc>
          <w:tcPr>
            <w:tcW w:w="54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BEBEBE"/>
            <w:vAlign w:val="center"/>
          </w:tcPr>
          <w:p w14:paraId="70307A3F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查验</w:t>
            </w:r>
          </w:p>
        </w:tc>
        <w:tc>
          <w:tcPr>
            <w:tcW w:w="55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BEBEBE"/>
            <w:vAlign w:val="center"/>
          </w:tcPr>
          <w:p w14:paraId="68E8A3DD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4"/>
                <w:szCs w:val="24"/>
              </w:rPr>
              <w:t>纳税人电子签名／印章</w:t>
            </w:r>
          </w:p>
        </w:tc>
        <w:tc>
          <w:tcPr>
            <w:tcW w:w="67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BEBEBE"/>
            <w:vAlign w:val="center"/>
          </w:tcPr>
          <w:p w14:paraId="1B9FAD6A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容缺报送</w:t>
            </w:r>
          </w:p>
        </w:tc>
      </w:tr>
      <w:tr w14:paraId="61BCD7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6D1556F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47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center"/>
          </w:tcPr>
          <w:p w14:paraId="7374E2E8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中华人民共和国企业所得税年度纳税申报表（A类，2017版）封面</w:t>
            </w:r>
          </w:p>
        </w:tc>
        <w:tc>
          <w:tcPr>
            <w:tcW w:w="5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A25261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4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C71892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5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44D85F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54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6877E3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55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6DA2B7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67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FB12DD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　</w:t>
            </w:r>
          </w:p>
        </w:tc>
      </w:tr>
      <w:tr w14:paraId="4DC138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CEAE8F1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47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center"/>
          </w:tcPr>
          <w:p w14:paraId="53D8FAB5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企业所得税年度纳税申报表填报表单</w:t>
            </w:r>
          </w:p>
        </w:tc>
        <w:tc>
          <w:tcPr>
            <w:tcW w:w="5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C41EA9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4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462C5A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5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9A6722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54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FD3BFEE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55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3B706B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67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DA73A5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　</w:t>
            </w:r>
          </w:p>
        </w:tc>
      </w:tr>
      <w:tr w14:paraId="62691D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49F6677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47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center"/>
          </w:tcPr>
          <w:p w14:paraId="5F3F38A9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企业基础信息表</w:t>
            </w:r>
          </w:p>
        </w:tc>
        <w:tc>
          <w:tcPr>
            <w:tcW w:w="5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4630A2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4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BD2B3A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5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74C788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54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116FBC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55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CFB1B3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67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FA2A05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</w:tr>
      <w:tr w14:paraId="351A05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3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10B2A3F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47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center"/>
          </w:tcPr>
          <w:p w14:paraId="3F3844BA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中华人民共和国企业所得税年度纳税申报表（A类）</w:t>
            </w:r>
          </w:p>
        </w:tc>
        <w:tc>
          <w:tcPr>
            <w:tcW w:w="5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4F64A5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4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6FB090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5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F401EA6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54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CA74BD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55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EA5CBE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67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5B897B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</w:tr>
      <w:tr w14:paraId="235089C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DECC516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47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center"/>
          </w:tcPr>
          <w:p w14:paraId="323C5A31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一般企业收入明细表</w:t>
            </w:r>
          </w:p>
        </w:tc>
        <w:tc>
          <w:tcPr>
            <w:tcW w:w="5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B272D3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4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3F60AB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5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2BFF50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54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7B43AA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55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CBEB3A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67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8FEBDE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</w:tr>
      <w:tr w14:paraId="7D54E9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E87B9E7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47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center"/>
          </w:tcPr>
          <w:p w14:paraId="7D957580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金融企业收入明细表</w:t>
            </w:r>
          </w:p>
        </w:tc>
        <w:tc>
          <w:tcPr>
            <w:tcW w:w="5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60020B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4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D5406F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5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65C29E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54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908391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55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A81AC2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67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58F8BB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</w:tr>
      <w:tr w14:paraId="1AD6D5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C11577F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47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center"/>
          </w:tcPr>
          <w:p w14:paraId="7D593D5F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一般企业成本支出明细表</w:t>
            </w:r>
          </w:p>
        </w:tc>
        <w:tc>
          <w:tcPr>
            <w:tcW w:w="5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7B085E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4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EAF9D3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5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E396D3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54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50E4F4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55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FA8138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67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2AEBBD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</w:tr>
      <w:tr w14:paraId="66222D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0AC4589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47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center"/>
          </w:tcPr>
          <w:p w14:paraId="19EC9FA2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金融企业支出明细表</w:t>
            </w:r>
          </w:p>
        </w:tc>
        <w:tc>
          <w:tcPr>
            <w:tcW w:w="5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9276E0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4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A12AA4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5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1EE1FE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54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B3D732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55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6CC5D2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67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EAF002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</w:tr>
      <w:tr w14:paraId="634FE9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B2FE781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47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center"/>
          </w:tcPr>
          <w:p w14:paraId="09F38587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事业单位、民间非营利组织收入、支出明细表</w:t>
            </w:r>
          </w:p>
        </w:tc>
        <w:tc>
          <w:tcPr>
            <w:tcW w:w="5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AC84E1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4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34067D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5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CB756F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54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204FDF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55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55DF79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67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2A1374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</w:tr>
      <w:tr w14:paraId="09865E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BFA2611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47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center"/>
          </w:tcPr>
          <w:p w14:paraId="6678A09C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期间费用明细表</w:t>
            </w:r>
          </w:p>
        </w:tc>
        <w:tc>
          <w:tcPr>
            <w:tcW w:w="5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FB6EA1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4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11AFCE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5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5C2ACE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54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F00416C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55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616BAC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67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EFEBBA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</w:tr>
      <w:tr w14:paraId="6D33DF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F9B6C4C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47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center"/>
          </w:tcPr>
          <w:p w14:paraId="752B5372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纳税调整项目明细表</w:t>
            </w:r>
          </w:p>
        </w:tc>
        <w:tc>
          <w:tcPr>
            <w:tcW w:w="5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2B2E7C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4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C42787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5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EB2DBA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54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A2747D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55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014969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67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9DBB8E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</w:tr>
      <w:tr w14:paraId="71D0B9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3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EA817E5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12</w:t>
            </w:r>
          </w:p>
        </w:tc>
        <w:tc>
          <w:tcPr>
            <w:tcW w:w="47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center"/>
          </w:tcPr>
          <w:p w14:paraId="186D32C7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视同销售和房地产开发企业特定业务纳税调整明细表</w:t>
            </w:r>
          </w:p>
        </w:tc>
        <w:tc>
          <w:tcPr>
            <w:tcW w:w="5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A806B6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4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D88E5C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5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BFFE91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54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00B1B8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55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721E58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67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FBB1ED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</w:tr>
      <w:tr w14:paraId="70BD95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F75646F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13</w:t>
            </w:r>
          </w:p>
        </w:tc>
        <w:tc>
          <w:tcPr>
            <w:tcW w:w="47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center"/>
          </w:tcPr>
          <w:p w14:paraId="65A76F45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未按权责发生制确认收入纳税调整明细表</w:t>
            </w:r>
          </w:p>
        </w:tc>
        <w:tc>
          <w:tcPr>
            <w:tcW w:w="5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C6FAD9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4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12DAE8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5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2FA061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54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551304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55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76EC0D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67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DEE288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</w:tr>
      <w:tr w14:paraId="42FD89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03714A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47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center"/>
          </w:tcPr>
          <w:p w14:paraId="69A8A1AB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投资收益纳税调整明细表</w:t>
            </w:r>
          </w:p>
        </w:tc>
        <w:tc>
          <w:tcPr>
            <w:tcW w:w="5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FC3CF3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4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1EC506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5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F94A6B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54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9976B7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55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66D337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67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D41F13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</w:tr>
      <w:tr w14:paraId="152C8D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6AFFD70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15</w:t>
            </w:r>
          </w:p>
        </w:tc>
        <w:tc>
          <w:tcPr>
            <w:tcW w:w="47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center"/>
          </w:tcPr>
          <w:p w14:paraId="02CB0F4C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专项用途财政性资金纳税调整明细表</w:t>
            </w:r>
          </w:p>
        </w:tc>
        <w:tc>
          <w:tcPr>
            <w:tcW w:w="5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9F45F8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4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324225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5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13C1D8A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54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AB17D8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55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A79049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67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B1BA13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</w:tr>
      <w:tr w14:paraId="51D101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95E9967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16</w:t>
            </w:r>
          </w:p>
        </w:tc>
        <w:tc>
          <w:tcPr>
            <w:tcW w:w="47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center"/>
          </w:tcPr>
          <w:p w14:paraId="14552C33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职工薪酬支出及纳税调整明细表</w:t>
            </w:r>
          </w:p>
        </w:tc>
        <w:tc>
          <w:tcPr>
            <w:tcW w:w="5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3A0375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4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5C5D8C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5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15E4FD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54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C96598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55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D0A88F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67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DA441D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</w:tr>
      <w:tr w14:paraId="10A301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63B1A3D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17</w:t>
            </w:r>
          </w:p>
        </w:tc>
        <w:tc>
          <w:tcPr>
            <w:tcW w:w="47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center"/>
          </w:tcPr>
          <w:p w14:paraId="57DB1B66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广告费和业务宣传费跨年度纳税调整明细表</w:t>
            </w:r>
          </w:p>
        </w:tc>
        <w:tc>
          <w:tcPr>
            <w:tcW w:w="5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6D199E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4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594DAB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5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38425F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54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800082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55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02F2DD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67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4767DA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</w:tr>
      <w:tr w14:paraId="11B46A1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CFC871A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18</w:t>
            </w:r>
          </w:p>
        </w:tc>
        <w:tc>
          <w:tcPr>
            <w:tcW w:w="47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center"/>
          </w:tcPr>
          <w:p w14:paraId="2C289BFC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捐赠支出及纳税调整明细表</w:t>
            </w:r>
          </w:p>
        </w:tc>
        <w:tc>
          <w:tcPr>
            <w:tcW w:w="5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E38DD3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4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E8D991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5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03E295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54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52782A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55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F1386C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67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4B1952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</w:tr>
      <w:tr w14:paraId="73DE27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E9B141E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19</w:t>
            </w:r>
          </w:p>
        </w:tc>
        <w:tc>
          <w:tcPr>
            <w:tcW w:w="47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center"/>
          </w:tcPr>
          <w:p w14:paraId="4CCADFBF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资产折旧、摊销及纳税调整明细表</w:t>
            </w:r>
          </w:p>
        </w:tc>
        <w:tc>
          <w:tcPr>
            <w:tcW w:w="5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0247E9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4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DD99C7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5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79D287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54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6B2044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55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B29155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67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B8CB1D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</w:tr>
      <w:tr w14:paraId="7DA8B1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0D9F915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47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center"/>
          </w:tcPr>
          <w:p w14:paraId="729B33E9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资产损失税前扣除及纳税调整明细表</w:t>
            </w:r>
          </w:p>
        </w:tc>
        <w:tc>
          <w:tcPr>
            <w:tcW w:w="5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4B78E7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4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2BD2BA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5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B88FF2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54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534B7D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55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7949B8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67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967930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</w:tr>
      <w:tr w14:paraId="4D9912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234F9A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21</w:t>
            </w:r>
          </w:p>
        </w:tc>
        <w:tc>
          <w:tcPr>
            <w:tcW w:w="47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center"/>
          </w:tcPr>
          <w:p w14:paraId="0F4BEDA4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企业重组及递延纳税事项纳税调整明细表</w:t>
            </w:r>
          </w:p>
        </w:tc>
        <w:tc>
          <w:tcPr>
            <w:tcW w:w="5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E940B6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4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1DF614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5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15AC7F7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54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E41537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55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D65649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67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DA22A0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</w:tr>
      <w:tr w14:paraId="5C2EBA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C464D8B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22</w:t>
            </w:r>
          </w:p>
        </w:tc>
        <w:tc>
          <w:tcPr>
            <w:tcW w:w="47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center"/>
          </w:tcPr>
          <w:p w14:paraId="6488419A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政策性搬迁纳税调整明细表</w:t>
            </w:r>
          </w:p>
        </w:tc>
        <w:tc>
          <w:tcPr>
            <w:tcW w:w="5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B44C5C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4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FF68CD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5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1A9611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54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0533D3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55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F00E63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67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D9926A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</w:tr>
      <w:tr w14:paraId="11BB5C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290022A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23</w:t>
            </w:r>
          </w:p>
        </w:tc>
        <w:tc>
          <w:tcPr>
            <w:tcW w:w="47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center"/>
          </w:tcPr>
          <w:p w14:paraId="09115472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贷款损失准备金及纳税调整明细表</w:t>
            </w:r>
          </w:p>
        </w:tc>
        <w:tc>
          <w:tcPr>
            <w:tcW w:w="5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A9E684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4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B804F9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5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21DDBE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54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F345FB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55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5799AC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67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4B3752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</w:tr>
      <w:tr w14:paraId="567058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6BA6C1F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24</w:t>
            </w:r>
          </w:p>
        </w:tc>
        <w:tc>
          <w:tcPr>
            <w:tcW w:w="47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center"/>
          </w:tcPr>
          <w:p w14:paraId="7923EAC6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企业所得税弥补亏损明细表</w:t>
            </w:r>
          </w:p>
        </w:tc>
        <w:tc>
          <w:tcPr>
            <w:tcW w:w="5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5A2AB5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4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94E1A6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5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7A5AFA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54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647A9F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55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E240A9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67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1B3A26C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</w:tr>
      <w:tr w14:paraId="45B7FE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B33D0E8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25</w:t>
            </w:r>
          </w:p>
        </w:tc>
        <w:tc>
          <w:tcPr>
            <w:tcW w:w="47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center"/>
          </w:tcPr>
          <w:p w14:paraId="07D4A2B2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免税、减计收入及加计扣除优惠明细表</w:t>
            </w:r>
          </w:p>
        </w:tc>
        <w:tc>
          <w:tcPr>
            <w:tcW w:w="5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234C7E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4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04985A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5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707807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54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6E504C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55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6A1DB2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67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1DEB1E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</w:tr>
      <w:tr w14:paraId="534D3C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3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9A970D2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26</w:t>
            </w:r>
          </w:p>
        </w:tc>
        <w:tc>
          <w:tcPr>
            <w:tcW w:w="47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center"/>
          </w:tcPr>
          <w:p w14:paraId="682A5A94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符合条件的居民企业之间的股息、红利等权益性投资收益优惠明细表</w:t>
            </w:r>
          </w:p>
        </w:tc>
        <w:tc>
          <w:tcPr>
            <w:tcW w:w="5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E38243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4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CB18A0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5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34DB6A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54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199D34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55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EDF106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67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271282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</w:tr>
      <w:tr w14:paraId="22BDF3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D20C1C0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27</w:t>
            </w:r>
          </w:p>
        </w:tc>
        <w:tc>
          <w:tcPr>
            <w:tcW w:w="47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center"/>
          </w:tcPr>
          <w:p w14:paraId="578DBA7B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研发费用加计扣除优惠明细表</w:t>
            </w:r>
          </w:p>
        </w:tc>
        <w:tc>
          <w:tcPr>
            <w:tcW w:w="5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bottom"/>
          </w:tcPr>
          <w:p w14:paraId="4D40DBA5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4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5DC843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5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858031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54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bottom"/>
          </w:tcPr>
          <w:p w14:paraId="5B4D32BF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55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bottom"/>
          </w:tcPr>
          <w:p w14:paraId="4F4D4118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67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bottom"/>
          </w:tcPr>
          <w:p w14:paraId="66320E6D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</w:tr>
      <w:tr w14:paraId="1DA409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FF135F3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28</w:t>
            </w:r>
          </w:p>
        </w:tc>
        <w:tc>
          <w:tcPr>
            <w:tcW w:w="47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center"/>
          </w:tcPr>
          <w:p w14:paraId="6A4B4003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所得减免优惠明细表</w:t>
            </w:r>
          </w:p>
        </w:tc>
        <w:tc>
          <w:tcPr>
            <w:tcW w:w="5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bottom"/>
          </w:tcPr>
          <w:p w14:paraId="69D46726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4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05949D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5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F43D40A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54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bottom"/>
          </w:tcPr>
          <w:p w14:paraId="2433DCA2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55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bottom"/>
          </w:tcPr>
          <w:p w14:paraId="5BCA4421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67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bottom"/>
          </w:tcPr>
          <w:p w14:paraId="42D56674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</w:tr>
      <w:tr w14:paraId="280D4E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F87828B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29</w:t>
            </w:r>
          </w:p>
        </w:tc>
        <w:tc>
          <w:tcPr>
            <w:tcW w:w="47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center"/>
          </w:tcPr>
          <w:p w14:paraId="1C8D046E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抵扣应纳税所得额明细表</w:t>
            </w:r>
          </w:p>
        </w:tc>
        <w:tc>
          <w:tcPr>
            <w:tcW w:w="5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bottom"/>
          </w:tcPr>
          <w:p w14:paraId="2043A5BB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4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C656B4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5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2385E5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54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bottom"/>
          </w:tcPr>
          <w:p w14:paraId="3C8DBA04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55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bottom"/>
          </w:tcPr>
          <w:p w14:paraId="0AEB0CA5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67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bottom"/>
          </w:tcPr>
          <w:p w14:paraId="6E8050C9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</w:tr>
      <w:tr w14:paraId="466324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D756A68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30</w:t>
            </w:r>
          </w:p>
        </w:tc>
        <w:tc>
          <w:tcPr>
            <w:tcW w:w="47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center"/>
          </w:tcPr>
          <w:p w14:paraId="62C6F573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减免所得税优惠明细表</w:t>
            </w:r>
          </w:p>
        </w:tc>
        <w:tc>
          <w:tcPr>
            <w:tcW w:w="5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bottom"/>
          </w:tcPr>
          <w:p w14:paraId="21BD0E95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4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266330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5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0EF707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54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bottom"/>
          </w:tcPr>
          <w:p w14:paraId="04E9BC7B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55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bottom"/>
          </w:tcPr>
          <w:p w14:paraId="1AC37D59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67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bottom"/>
          </w:tcPr>
          <w:p w14:paraId="55163017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</w:tr>
      <w:tr w14:paraId="7C7BA8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8EC29A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31</w:t>
            </w:r>
          </w:p>
        </w:tc>
        <w:tc>
          <w:tcPr>
            <w:tcW w:w="47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center"/>
          </w:tcPr>
          <w:p w14:paraId="18D4B1A9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高新技术企业优惠情况及明细表</w:t>
            </w:r>
          </w:p>
        </w:tc>
        <w:tc>
          <w:tcPr>
            <w:tcW w:w="5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bottom"/>
          </w:tcPr>
          <w:p w14:paraId="238CF7A2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4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A3596B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5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C0302F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54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bottom"/>
          </w:tcPr>
          <w:p w14:paraId="7325AACC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55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bottom"/>
          </w:tcPr>
          <w:p w14:paraId="66038818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67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bottom"/>
          </w:tcPr>
          <w:p w14:paraId="31981B2F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</w:tr>
      <w:tr w14:paraId="7D3588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DFBD441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32</w:t>
            </w:r>
          </w:p>
        </w:tc>
        <w:tc>
          <w:tcPr>
            <w:tcW w:w="47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center"/>
          </w:tcPr>
          <w:p w14:paraId="2E982EC3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软件、集成电路企业优惠情况及明细表</w:t>
            </w:r>
          </w:p>
        </w:tc>
        <w:tc>
          <w:tcPr>
            <w:tcW w:w="5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bottom"/>
          </w:tcPr>
          <w:p w14:paraId="4CDD9615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4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F9DCAC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5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EFBB68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54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bottom"/>
          </w:tcPr>
          <w:p w14:paraId="636B7693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55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bottom"/>
          </w:tcPr>
          <w:p w14:paraId="4D930A63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67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bottom"/>
          </w:tcPr>
          <w:p w14:paraId="664965B4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</w:tr>
      <w:tr w14:paraId="1A5B8A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2330460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33</w:t>
            </w:r>
          </w:p>
        </w:tc>
        <w:tc>
          <w:tcPr>
            <w:tcW w:w="47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center"/>
          </w:tcPr>
          <w:p w14:paraId="6B015E9D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税额抵免优惠明细表</w:t>
            </w:r>
          </w:p>
        </w:tc>
        <w:tc>
          <w:tcPr>
            <w:tcW w:w="5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bottom"/>
          </w:tcPr>
          <w:p w14:paraId="0B03BED0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4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338C59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5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6CF8EB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54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bottom"/>
          </w:tcPr>
          <w:p w14:paraId="34919F39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55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bottom"/>
          </w:tcPr>
          <w:p w14:paraId="7489198E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67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bottom"/>
          </w:tcPr>
          <w:p w14:paraId="12CCC7C0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</w:tr>
      <w:tr w14:paraId="595E64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989B4DC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34</w:t>
            </w:r>
          </w:p>
        </w:tc>
        <w:tc>
          <w:tcPr>
            <w:tcW w:w="47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center"/>
          </w:tcPr>
          <w:p w14:paraId="1FC8E93E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境外所得税收抵免明细表</w:t>
            </w:r>
          </w:p>
        </w:tc>
        <w:tc>
          <w:tcPr>
            <w:tcW w:w="5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bottom"/>
          </w:tcPr>
          <w:p w14:paraId="6387C5A0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4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17E1E8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5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ABB359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54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bottom"/>
          </w:tcPr>
          <w:p w14:paraId="702ABFF8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55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bottom"/>
          </w:tcPr>
          <w:p w14:paraId="4329FCF3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67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bottom"/>
          </w:tcPr>
          <w:p w14:paraId="6AE5FC63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</w:tr>
      <w:tr w14:paraId="7DD954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63A6848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35</w:t>
            </w:r>
          </w:p>
        </w:tc>
        <w:tc>
          <w:tcPr>
            <w:tcW w:w="47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center"/>
          </w:tcPr>
          <w:p w14:paraId="241EE32C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境外所得纳税调整后所得明细表</w:t>
            </w:r>
          </w:p>
        </w:tc>
        <w:tc>
          <w:tcPr>
            <w:tcW w:w="5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bottom"/>
          </w:tcPr>
          <w:p w14:paraId="64362575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4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F5C7B2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5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D76EF4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54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bottom"/>
          </w:tcPr>
          <w:p w14:paraId="39A3B95E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55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bottom"/>
          </w:tcPr>
          <w:p w14:paraId="4627D8C7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67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bottom"/>
          </w:tcPr>
          <w:p w14:paraId="51F4D51B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</w:tr>
      <w:tr w14:paraId="2F68A4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24FA802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36</w:t>
            </w:r>
          </w:p>
        </w:tc>
        <w:tc>
          <w:tcPr>
            <w:tcW w:w="47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center"/>
          </w:tcPr>
          <w:p w14:paraId="39F7A9DE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境外分支机构弥补亏损明细表</w:t>
            </w:r>
          </w:p>
        </w:tc>
        <w:tc>
          <w:tcPr>
            <w:tcW w:w="5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bottom"/>
          </w:tcPr>
          <w:p w14:paraId="736A7DB0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4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A17DE3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5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1108C4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54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bottom"/>
          </w:tcPr>
          <w:p w14:paraId="148D7778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55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bottom"/>
          </w:tcPr>
          <w:p w14:paraId="176D9479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67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bottom"/>
          </w:tcPr>
          <w:p w14:paraId="627F4AA0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</w:tr>
      <w:tr w14:paraId="63D5B1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DFC750E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37</w:t>
            </w:r>
          </w:p>
        </w:tc>
        <w:tc>
          <w:tcPr>
            <w:tcW w:w="47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center"/>
          </w:tcPr>
          <w:p w14:paraId="3D398294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跨年度结转抵免境外所得税明细表</w:t>
            </w:r>
          </w:p>
        </w:tc>
        <w:tc>
          <w:tcPr>
            <w:tcW w:w="5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bottom"/>
          </w:tcPr>
          <w:p w14:paraId="611B55B5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4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7ACCB0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5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255455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54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bottom"/>
          </w:tcPr>
          <w:p w14:paraId="1C0DA018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55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bottom"/>
          </w:tcPr>
          <w:p w14:paraId="4118BA52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67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bottom"/>
          </w:tcPr>
          <w:p w14:paraId="534A99AA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</w:tr>
      <w:tr w14:paraId="4978913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3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69F5D4C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38</w:t>
            </w:r>
          </w:p>
        </w:tc>
        <w:tc>
          <w:tcPr>
            <w:tcW w:w="47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center"/>
          </w:tcPr>
          <w:p w14:paraId="3F0B640F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跨地区经营汇总纳税企业年度分摊企业所得税明细表</w:t>
            </w:r>
          </w:p>
        </w:tc>
        <w:tc>
          <w:tcPr>
            <w:tcW w:w="5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bottom"/>
          </w:tcPr>
          <w:p w14:paraId="18010BE1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4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1D4614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5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4E7530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54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bottom"/>
          </w:tcPr>
          <w:p w14:paraId="3CE0FE3D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55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bottom"/>
          </w:tcPr>
          <w:p w14:paraId="6014E0BB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67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bottom"/>
          </w:tcPr>
          <w:p w14:paraId="3841DDCB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</w:tr>
      <w:tr w14:paraId="5E8A52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781587E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39</w:t>
            </w:r>
          </w:p>
        </w:tc>
        <w:tc>
          <w:tcPr>
            <w:tcW w:w="47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center"/>
          </w:tcPr>
          <w:p w14:paraId="587825A8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企业所得税汇总纳税分支机构所得税分配表</w:t>
            </w:r>
          </w:p>
        </w:tc>
        <w:tc>
          <w:tcPr>
            <w:tcW w:w="5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bottom"/>
          </w:tcPr>
          <w:p w14:paraId="6989DC8B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4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44535D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5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FBC9B5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54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bottom"/>
          </w:tcPr>
          <w:p w14:paraId="55D62A71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55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bottom"/>
          </w:tcPr>
          <w:p w14:paraId="59239C2D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67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bottom"/>
          </w:tcPr>
          <w:p w14:paraId="19820819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</w:tr>
      <w:tr w14:paraId="17483B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3EEB810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40</w:t>
            </w:r>
          </w:p>
        </w:tc>
        <w:tc>
          <w:tcPr>
            <w:tcW w:w="47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center"/>
          </w:tcPr>
          <w:p w14:paraId="6525DF53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</w:rPr>
              <w:t>跨地区经营汇总纳税企业的分支机构年度纳税申报表（2021年版）</w:t>
            </w:r>
          </w:p>
        </w:tc>
        <w:tc>
          <w:tcPr>
            <w:tcW w:w="5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bottom"/>
          </w:tcPr>
          <w:p w14:paraId="20A66A8C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089A8A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5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332F7B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54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bottom"/>
          </w:tcPr>
          <w:p w14:paraId="51601674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bottom"/>
          </w:tcPr>
          <w:p w14:paraId="5273F9B5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67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bottom"/>
          </w:tcPr>
          <w:p w14:paraId="1987EE9B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14:paraId="47BA65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4310888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41</w:t>
            </w:r>
          </w:p>
        </w:tc>
        <w:tc>
          <w:tcPr>
            <w:tcW w:w="47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center"/>
          </w:tcPr>
          <w:p w14:paraId="0EB82E01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</w:rPr>
              <w:t>非货币性资产投资递延纳税调整明细表</w:t>
            </w:r>
          </w:p>
        </w:tc>
        <w:tc>
          <w:tcPr>
            <w:tcW w:w="5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bottom"/>
          </w:tcPr>
          <w:p w14:paraId="0D47137E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F0D2D4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5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683FD6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54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bottom"/>
          </w:tcPr>
          <w:p w14:paraId="6D8FD522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bottom"/>
          </w:tcPr>
          <w:p w14:paraId="73FD00F0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67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bottom"/>
          </w:tcPr>
          <w:p w14:paraId="4CB2D582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14:paraId="0EB9FF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EC81066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42</w:t>
            </w:r>
          </w:p>
        </w:tc>
        <w:tc>
          <w:tcPr>
            <w:tcW w:w="47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center"/>
          </w:tcPr>
          <w:p w14:paraId="7225458B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</w:rPr>
              <w:t>跨省合资铁路企业所得税税款分解表</w:t>
            </w:r>
          </w:p>
        </w:tc>
        <w:tc>
          <w:tcPr>
            <w:tcW w:w="5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bottom"/>
          </w:tcPr>
          <w:p w14:paraId="774EA53E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4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18B0CF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5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800CA3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54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bottom"/>
          </w:tcPr>
          <w:p w14:paraId="50C8F6BD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55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bottom"/>
          </w:tcPr>
          <w:p w14:paraId="194F5D6C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67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bottom"/>
          </w:tcPr>
          <w:p w14:paraId="3ACD804E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</w:tr>
      <w:tr w14:paraId="0B59C9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5907728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43</w:t>
            </w:r>
          </w:p>
        </w:tc>
        <w:tc>
          <w:tcPr>
            <w:tcW w:w="47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center"/>
          </w:tcPr>
          <w:p w14:paraId="0A8A5BFD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</w:rPr>
              <w:t>海上油气生产设施弃置费情况表</w:t>
            </w:r>
          </w:p>
        </w:tc>
        <w:tc>
          <w:tcPr>
            <w:tcW w:w="5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bottom"/>
          </w:tcPr>
          <w:p w14:paraId="3094C409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4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EE45E8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5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BE32D8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54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bottom"/>
          </w:tcPr>
          <w:p w14:paraId="6E31D3B2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55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bottom"/>
          </w:tcPr>
          <w:p w14:paraId="33CC4FC9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67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bottom"/>
          </w:tcPr>
          <w:p w14:paraId="65194BB3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</w:tr>
      <w:tr w14:paraId="364146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DD3882C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44</w:t>
            </w:r>
          </w:p>
        </w:tc>
        <w:tc>
          <w:tcPr>
            <w:tcW w:w="47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center"/>
          </w:tcPr>
          <w:p w14:paraId="3A2E6A61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</w:rPr>
              <w:t>中华人民共和国企业政策性搬迁清算损益表（自税款所属期2022年度起停止报送）</w:t>
            </w:r>
          </w:p>
        </w:tc>
        <w:tc>
          <w:tcPr>
            <w:tcW w:w="5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bottom"/>
          </w:tcPr>
          <w:p w14:paraId="79651591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4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2E648B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5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E1F590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54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bottom"/>
          </w:tcPr>
          <w:p w14:paraId="08376539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55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bottom"/>
          </w:tcPr>
          <w:p w14:paraId="3113B7D9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67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bottom"/>
          </w:tcPr>
          <w:p w14:paraId="1507D189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</w:tr>
      <w:tr w14:paraId="18A2FE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83633C3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45</w:t>
            </w:r>
          </w:p>
        </w:tc>
        <w:tc>
          <w:tcPr>
            <w:tcW w:w="47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center"/>
          </w:tcPr>
          <w:p w14:paraId="71CDDF53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</w:rPr>
              <w:t>受控外国企业信息报告表（自税款所属期2023年第四季度(或12 月)起停止报送）</w:t>
            </w:r>
          </w:p>
        </w:tc>
        <w:tc>
          <w:tcPr>
            <w:tcW w:w="5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bottom"/>
          </w:tcPr>
          <w:p w14:paraId="6DB5FBFA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4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92EB34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5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98F00D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54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bottom"/>
          </w:tcPr>
          <w:p w14:paraId="0CD0A357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55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bottom"/>
          </w:tcPr>
          <w:p w14:paraId="4FD0578B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67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bottom"/>
          </w:tcPr>
          <w:p w14:paraId="78B97D55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</w:tr>
      <w:tr w14:paraId="544AA5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3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5296515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46</w:t>
            </w:r>
          </w:p>
        </w:tc>
        <w:tc>
          <w:tcPr>
            <w:tcW w:w="47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center"/>
          </w:tcPr>
          <w:p w14:paraId="6143542D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</w:rPr>
              <w:t>居民企业资产（股权）划转特殊性税务处理申报表</w:t>
            </w:r>
          </w:p>
        </w:tc>
        <w:tc>
          <w:tcPr>
            <w:tcW w:w="5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bottom"/>
          </w:tcPr>
          <w:p w14:paraId="11FAAF68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4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1E1F18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5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A567AD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54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bottom"/>
          </w:tcPr>
          <w:p w14:paraId="2501D758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55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bottom"/>
          </w:tcPr>
          <w:p w14:paraId="101908AC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67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bottom"/>
          </w:tcPr>
          <w:p w14:paraId="056FD22E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</w:tr>
      <w:tr w14:paraId="5D27CE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C3234B6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47</w:t>
            </w:r>
          </w:p>
        </w:tc>
        <w:tc>
          <w:tcPr>
            <w:tcW w:w="47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center"/>
          </w:tcPr>
          <w:p w14:paraId="4DDA86CC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</w:rPr>
              <w:t>企业重组所得税特殊性税务处理报告表</w:t>
            </w:r>
          </w:p>
        </w:tc>
        <w:tc>
          <w:tcPr>
            <w:tcW w:w="5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bottom"/>
          </w:tcPr>
          <w:p w14:paraId="71AF3EA9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4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1EFDAB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5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589417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54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bottom"/>
          </w:tcPr>
          <w:p w14:paraId="6B9B2623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55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bottom"/>
          </w:tcPr>
          <w:p w14:paraId="780D28B6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67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bottom"/>
          </w:tcPr>
          <w:p w14:paraId="09AB6E20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</w:tr>
      <w:tr w14:paraId="31D962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3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E16B3C9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48</w:t>
            </w:r>
          </w:p>
        </w:tc>
        <w:tc>
          <w:tcPr>
            <w:tcW w:w="47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center"/>
          </w:tcPr>
          <w:p w14:paraId="22824FC7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</w:rPr>
              <w:t>企业重组所得税特殊性税务处理报告表(债务重组)</w:t>
            </w:r>
          </w:p>
        </w:tc>
        <w:tc>
          <w:tcPr>
            <w:tcW w:w="5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bottom"/>
          </w:tcPr>
          <w:p w14:paraId="0D97FAED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4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1DF7B9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5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6CC179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54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bottom"/>
          </w:tcPr>
          <w:p w14:paraId="372549F6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55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bottom"/>
          </w:tcPr>
          <w:p w14:paraId="1A2FD9A0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67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bottom"/>
          </w:tcPr>
          <w:p w14:paraId="1FA1E456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</w:tr>
      <w:tr w14:paraId="5D51FD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3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7822B68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49</w:t>
            </w:r>
          </w:p>
        </w:tc>
        <w:tc>
          <w:tcPr>
            <w:tcW w:w="47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center"/>
          </w:tcPr>
          <w:p w14:paraId="2C8BCF9E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</w:rPr>
              <w:t>企业重组所得税特殊性税务处理报告表(股权收购)</w:t>
            </w:r>
          </w:p>
        </w:tc>
        <w:tc>
          <w:tcPr>
            <w:tcW w:w="5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bottom"/>
          </w:tcPr>
          <w:p w14:paraId="68722CDC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4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FDC433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5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A92C17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54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bottom"/>
          </w:tcPr>
          <w:p w14:paraId="20745E6F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55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bottom"/>
          </w:tcPr>
          <w:p w14:paraId="0266B185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67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bottom"/>
          </w:tcPr>
          <w:p w14:paraId="26F95B9F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</w:tr>
      <w:tr w14:paraId="38EFD1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3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0C150EB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50</w:t>
            </w:r>
          </w:p>
        </w:tc>
        <w:tc>
          <w:tcPr>
            <w:tcW w:w="47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center"/>
          </w:tcPr>
          <w:p w14:paraId="04C9DED1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</w:rPr>
              <w:t>企业重组所得税特殊性税务处理报告表(资产收购)</w:t>
            </w:r>
          </w:p>
        </w:tc>
        <w:tc>
          <w:tcPr>
            <w:tcW w:w="5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bottom"/>
          </w:tcPr>
          <w:p w14:paraId="252CCF6A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F9C14EE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5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B50AE3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54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bottom"/>
          </w:tcPr>
          <w:p w14:paraId="3C937E56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bottom"/>
          </w:tcPr>
          <w:p w14:paraId="1FC0B8AA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67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bottom"/>
          </w:tcPr>
          <w:p w14:paraId="5CDAEF5E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14:paraId="57C265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3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EF9D4A4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51</w:t>
            </w:r>
          </w:p>
        </w:tc>
        <w:tc>
          <w:tcPr>
            <w:tcW w:w="47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center"/>
          </w:tcPr>
          <w:p w14:paraId="22591E53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</w:rPr>
              <w:t>企业重组所得税特殊性税务处理报告表(企业合并)</w:t>
            </w:r>
          </w:p>
        </w:tc>
        <w:tc>
          <w:tcPr>
            <w:tcW w:w="5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bottom"/>
          </w:tcPr>
          <w:p w14:paraId="414CEE28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4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13C9B4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5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E20D77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54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bottom"/>
          </w:tcPr>
          <w:p w14:paraId="126AFF07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55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bottom"/>
          </w:tcPr>
          <w:p w14:paraId="4E60A885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67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bottom"/>
          </w:tcPr>
          <w:p w14:paraId="4DE07E18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</w:tr>
      <w:tr w14:paraId="6864B6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3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7DD1EAB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52</w:t>
            </w:r>
          </w:p>
        </w:tc>
        <w:tc>
          <w:tcPr>
            <w:tcW w:w="47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center"/>
          </w:tcPr>
          <w:p w14:paraId="74D6FEA6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</w:rPr>
              <w:t>企业重组所得税特殊性税务处理报告表(企业分立)</w:t>
            </w:r>
          </w:p>
        </w:tc>
        <w:tc>
          <w:tcPr>
            <w:tcW w:w="5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bottom"/>
          </w:tcPr>
          <w:p w14:paraId="28C80332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4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D532CB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5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DB88A5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54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bottom"/>
          </w:tcPr>
          <w:p w14:paraId="6E61C9CA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55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bottom"/>
          </w:tcPr>
          <w:p w14:paraId="405236AE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√</w:t>
            </w:r>
          </w:p>
        </w:tc>
        <w:tc>
          <w:tcPr>
            <w:tcW w:w="67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bottom"/>
          </w:tcPr>
          <w:p w14:paraId="2316F3D8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before="157" w:beforeLines="50" w:after="157" w:afterLines="50"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　</w:t>
            </w:r>
          </w:p>
        </w:tc>
      </w:tr>
    </w:tbl>
    <w:p w14:paraId="60F99AFD"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snapToGrid/>
        <w:spacing w:before="157" w:beforeLines="50" w:after="157" w:afterLines="50" w:line="360" w:lineRule="auto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七</w:t>
      </w:r>
      <w:r>
        <w:rPr>
          <w:rFonts w:hint="eastAsia" w:ascii="宋体" w:hAnsi="宋体" w:eastAsia="宋体" w:cs="宋体"/>
          <w:b/>
          <w:sz w:val="24"/>
          <w:szCs w:val="24"/>
        </w:rPr>
        <w:t>、注意事项</w:t>
      </w:r>
    </w:p>
    <w:p w14:paraId="00E85AC0">
      <w:pPr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57" w:beforeLines="50" w:after="157" w:afterLines="50"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1.纳税人对报送材料的真实性和合法性承担责任。</w:t>
      </w:r>
    </w:p>
    <w:p w14:paraId="4C2EA9A9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57" w:beforeLines="50" w:after="157" w:afterLines="50" w:line="360" w:lineRule="auto"/>
        <w:ind w:left="0" w:leftChars="0"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.小型微利企业所得税申报时，填写纳税申报表，即可便捷享受优惠政策，无需其他手续。小型微利企业应准确填报从业人数、资产总额、国家限制或禁止行业等基础信息，计算应纳税所得额后，信息系统将利用相关数据，为小型微利企业智能预填优惠项目、自动计算减免税额。</w:t>
      </w:r>
    </w:p>
    <w:p w14:paraId="2F412A4F"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snapToGrid/>
        <w:spacing w:before="157" w:beforeLines="50" w:after="157" w:afterLines="50" w:line="360" w:lineRule="auto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八</w:t>
      </w:r>
      <w:r>
        <w:rPr>
          <w:rFonts w:hint="eastAsia" w:ascii="宋体" w:hAnsi="宋体" w:eastAsia="宋体" w:cs="宋体"/>
          <w:b/>
          <w:sz w:val="24"/>
          <w:szCs w:val="24"/>
        </w:rPr>
        <w:t>、常见问题</w:t>
      </w:r>
    </w:p>
    <w:p w14:paraId="278D9B12">
      <w:pPr>
        <w:pageBreakBefore w:val="0"/>
        <w:kinsoku/>
        <w:wordWrap/>
        <w:overflowPunct/>
        <w:topLinePunct w:val="0"/>
        <w:autoSpaceDE/>
        <w:autoSpaceDN/>
        <w:bidi w:val="0"/>
        <w:snapToGrid/>
        <w:spacing w:before="157" w:beforeLines="50" w:after="157" w:afterLines="50"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1.为什么有的纳税人申报时不能实现数据预填？</w:t>
      </w:r>
    </w:p>
    <w:p w14:paraId="0960DB92">
      <w:pPr>
        <w:pageBreakBefore w:val="0"/>
        <w:kinsoku/>
        <w:wordWrap/>
        <w:overflowPunct/>
        <w:topLinePunct w:val="0"/>
        <w:autoSpaceDE/>
        <w:autoSpaceDN/>
        <w:bidi w:val="0"/>
        <w:snapToGrid/>
        <w:spacing w:before="157" w:beforeLines="50" w:after="157" w:afterLines="50"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答：如A100000表的“营业收入”栏次，当纳税人在《企业所得税年度纳税申报基础信息表》（A000000）中“109小型微利企业”选择“否”时，不能实现财务报表利润表数据预填，数据由A101010\101020\103000表填报后带出；当“109小型微利企业”选择“是”时，“营业收入”根据利润表自动预填数据。</w:t>
      </w:r>
    </w:p>
    <w:p w14:paraId="2175EF6B">
      <w:pPr>
        <w:pageBreakBefore w:val="0"/>
        <w:kinsoku/>
        <w:wordWrap/>
        <w:overflowPunct/>
        <w:topLinePunct w:val="0"/>
        <w:autoSpaceDE/>
        <w:autoSpaceDN/>
        <w:bidi w:val="0"/>
        <w:snapToGrid/>
        <w:spacing w:before="157" w:beforeLines="50" w:after="157" w:afterLines="50"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2.如果预填的数据与我公司实际数据存在差异，我应当如何修改？</w:t>
      </w:r>
    </w:p>
    <w:p w14:paraId="6BD1DEEF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snapToGrid/>
        <w:spacing w:before="157" w:beforeLines="50" w:after="157" w:afterLines="50" w:line="360" w:lineRule="auto"/>
        <w:ind w:left="0" w:leftChars="0"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答：系统自动获取同一所属期的财务报表利润表“营业收入”、“营业成本”、“税金及附加”、“销售费用”、“管理费用”、“财务费用”、“资产减值损失”、“投资收益”、“营业外收入”、“营业外支出”、“资产处置收益”，预填到居民企业（查账征收）企业所得税年度申报表单对应行，如与公司实际数据存在差异可对预填数据进行修改。</w:t>
      </w:r>
    </w:p>
    <w:p w14:paraId="07FAC47E">
      <w:pPr>
        <w:pageBreakBefore w:val="0"/>
        <w:kinsoku/>
        <w:wordWrap/>
        <w:overflowPunct/>
        <w:topLinePunct w:val="0"/>
        <w:autoSpaceDE/>
        <w:autoSpaceDN/>
        <w:bidi w:val="0"/>
        <w:snapToGrid/>
        <w:spacing w:before="157" w:beforeLines="50" w:after="157" w:afterLines="50"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</w:rPr>
        <w:t>3.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企业同时符合高新技术企业和小型微利企业两个优惠政策的条件，两种优惠是否可以同时享受？</w:t>
      </w:r>
    </w:p>
    <w:p w14:paraId="34B10EB9">
      <w:pPr>
        <w:pageBreakBefore w:val="0"/>
        <w:kinsoku/>
        <w:wordWrap/>
        <w:overflowPunct/>
        <w:topLinePunct w:val="0"/>
        <w:autoSpaceDE/>
        <w:autoSpaceDN/>
        <w:bidi w:val="0"/>
        <w:snapToGrid/>
        <w:spacing w:before="157" w:beforeLines="50" w:after="157" w:afterLines="50"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答：不能。企业所得税税率类减免税优惠不得叠加享受。企业只可以根据自身情况从优选择享受其中某一项税收优惠。</w:t>
      </w:r>
    </w:p>
    <w:bookmarkEnd w:id="1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ongti SC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92B6C7F"/>
    <w:multiLevelType w:val="singleLevel"/>
    <w:tmpl w:val="D92B6C7F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NkNzI4ZWE2YWFkODA1YzI5MjcwMzNkMTY5ZGQ3NTcifQ=="/>
  </w:docVars>
  <w:rsids>
    <w:rsidRoot w:val="002A4840"/>
    <w:rsid w:val="00066A9F"/>
    <w:rsid w:val="00132BEF"/>
    <w:rsid w:val="002A4840"/>
    <w:rsid w:val="00713C99"/>
    <w:rsid w:val="00A01E59"/>
    <w:rsid w:val="00A169B3"/>
    <w:rsid w:val="00C9078F"/>
    <w:rsid w:val="00D16782"/>
    <w:rsid w:val="04A120AC"/>
    <w:rsid w:val="05721C6C"/>
    <w:rsid w:val="0ACB5B05"/>
    <w:rsid w:val="0AEF6C31"/>
    <w:rsid w:val="18477175"/>
    <w:rsid w:val="2A51772B"/>
    <w:rsid w:val="31882A6F"/>
    <w:rsid w:val="38F11E1A"/>
    <w:rsid w:val="3BB733FA"/>
    <w:rsid w:val="48187CE0"/>
    <w:rsid w:val="4940290A"/>
    <w:rsid w:val="4ABF0DEB"/>
    <w:rsid w:val="4AF135CB"/>
    <w:rsid w:val="4D0577D7"/>
    <w:rsid w:val="53677D0B"/>
    <w:rsid w:val="5A4A27A1"/>
    <w:rsid w:val="77342B31"/>
    <w:rsid w:val="794E4609"/>
    <w:rsid w:val="7FBD34F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4">
    <w:name w:val="heading 2"/>
    <w:basedOn w:val="1"/>
    <w:next w:val="1"/>
    <w:qFormat/>
    <w:uiPriority w:val="0"/>
    <w:pPr>
      <w:keepNext/>
      <w:keepLines/>
      <w:outlineLvl w:val="1"/>
    </w:pPr>
    <w:rPr>
      <w:rFonts w:ascii="Arial" w:hAnsi="Arial" w:eastAsia="黑体"/>
      <w:b/>
      <w:sz w:val="28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TableOfAuthoring"/>
    <w:basedOn w:val="1"/>
    <w:next w:val="1"/>
    <w:qFormat/>
    <w:uiPriority w:val="0"/>
    <w:pPr>
      <w:ind w:left="420" w:leftChars="200"/>
    </w:pPr>
    <w:rPr>
      <w:rFonts w:ascii="Calibri" w:hAnsi="Calibri" w:cs="Times New Roman"/>
    </w:rPr>
  </w:style>
  <w:style w:type="paragraph" w:styleId="5">
    <w:name w:val="annotation text"/>
    <w:basedOn w:val="1"/>
    <w:link w:val="17"/>
    <w:qFormat/>
    <w:uiPriority w:val="0"/>
    <w:pPr>
      <w:jc w:val="left"/>
    </w:pPr>
  </w:style>
  <w:style w:type="paragraph" w:styleId="6">
    <w:name w:val="Balloon Text"/>
    <w:basedOn w:val="1"/>
    <w:link w:val="16"/>
    <w:qFormat/>
    <w:uiPriority w:val="0"/>
    <w:rPr>
      <w:sz w:val="18"/>
      <w:szCs w:val="18"/>
    </w:rPr>
  </w:style>
  <w:style w:type="paragraph" w:styleId="7">
    <w:name w:val="footer"/>
    <w:basedOn w:val="1"/>
    <w:link w:val="25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2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annotation subject"/>
    <w:basedOn w:val="5"/>
    <w:next w:val="5"/>
    <w:link w:val="18"/>
    <w:qFormat/>
    <w:uiPriority w:val="0"/>
    <w:rPr>
      <w:b/>
      <w:bCs/>
    </w:rPr>
  </w:style>
  <w:style w:type="character" w:styleId="12">
    <w:name w:val="Strong"/>
    <w:basedOn w:val="11"/>
    <w:qFormat/>
    <w:uiPriority w:val="0"/>
    <w:rPr>
      <w:b/>
    </w:rPr>
  </w:style>
  <w:style w:type="character" w:styleId="13">
    <w:name w:val="Hyperlink"/>
    <w:basedOn w:val="11"/>
    <w:qFormat/>
    <w:uiPriority w:val="0"/>
    <w:rPr>
      <w:color w:val="0000FF"/>
      <w:u w:val="single"/>
    </w:rPr>
  </w:style>
  <w:style w:type="character" w:styleId="14">
    <w:name w:val="annotation reference"/>
    <w:basedOn w:val="11"/>
    <w:qFormat/>
    <w:uiPriority w:val="0"/>
    <w:rPr>
      <w:sz w:val="21"/>
      <w:szCs w:val="21"/>
    </w:rPr>
  </w:style>
  <w:style w:type="paragraph" w:customStyle="1" w:styleId="15">
    <w:name w:val="Normal Indent1"/>
    <w:qFormat/>
    <w:uiPriority w:val="0"/>
    <w:pPr>
      <w:spacing w:line="360" w:lineRule="auto"/>
      <w:ind w:firstLine="883" w:firstLineChars="200"/>
    </w:pPr>
    <w:rPr>
      <w:rFonts w:ascii="Songti SC" w:hAnsi="Songti SC" w:eastAsia="宋体" w:cs="Songti SC"/>
      <w:sz w:val="24"/>
      <w:szCs w:val="24"/>
      <w:lang w:val="en-US" w:eastAsia="zh-CN" w:bidi="ar-SA"/>
    </w:rPr>
  </w:style>
  <w:style w:type="character" w:customStyle="1" w:styleId="16">
    <w:name w:val="批注框文本 Char"/>
    <w:basedOn w:val="11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7">
    <w:name w:val="批注文字 Char"/>
    <w:basedOn w:val="11"/>
    <w:link w:val="5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character" w:customStyle="1" w:styleId="18">
    <w:name w:val="批注主题 Char"/>
    <w:basedOn w:val="17"/>
    <w:link w:val="9"/>
    <w:qFormat/>
    <w:uiPriority w:val="0"/>
    <w:rPr>
      <w:b/>
      <w:bCs/>
    </w:rPr>
  </w:style>
  <w:style w:type="paragraph" w:customStyle="1" w:styleId="19">
    <w:name w:val="正文1"/>
    <w:qFormat/>
    <w:uiPriority w:val="0"/>
    <w:pPr>
      <w:jc w:val="both"/>
    </w:pPr>
    <w:rPr>
      <w:rFonts w:ascii="Calibri" w:hAnsi="Calibri" w:eastAsia="宋体" w:cs="宋体"/>
      <w:kern w:val="2"/>
      <w:sz w:val="21"/>
      <w:szCs w:val="21"/>
      <w:lang w:val="en-US" w:eastAsia="zh-CN" w:bidi="ar-SA"/>
    </w:rPr>
  </w:style>
  <w:style w:type="paragraph" w:customStyle="1" w:styleId="20">
    <w:name w:val="表格列标题"/>
    <w:basedOn w:val="19"/>
    <w:qFormat/>
    <w:uiPriority w:val="0"/>
    <w:pPr>
      <w:jc w:val="center"/>
    </w:pPr>
    <w:rPr>
      <w:rFonts w:ascii="Arial" w:hAnsi="Arial" w:cs="Arial"/>
      <w:b/>
      <w:sz w:val="18"/>
    </w:rPr>
  </w:style>
  <w:style w:type="paragraph" w:customStyle="1" w:styleId="21">
    <w:name w:val="表格文字 居中"/>
    <w:basedOn w:val="19"/>
    <w:qFormat/>
    <w:uiPriority w:val="0"/>
    <w:pPr>
      <w:jc w:val="center"/>
    </w:pPr>
    <w:rPr>
      <w:rFonts w:ascii="Arial" w:hAnsi="Arial" w:cs="Arial"/>
      <w:sz w:val="18"/>
    </w:rPr>
  </w:style>
  <w:style w:type="paragraph" w:customStyle="1" w:styleId="22">
    <w:name w:val="表格文字 左对齐"/>
    <w:basedOn w:val="23"/>
    <w:qFormat/>
    <w:uiPriority w:val="0"/>
    <w:rPr>
      <w:rFonts w:ascii="Arial" w:hAnsi="Arial" w:cs="Arial"/>
      <w:sz w:val="18"/>
    </w:rPr>
  </w:style>
  <w:style w:type="paragraph" w:customStyle="1" w:styleId="23">
    <w:name w:val="正文_1"/>
    <w:qFormat/>
    <w:uiPriority w:val="0"/>
    <w:rPr>
      <w:rFonts w:ascii="Times New Roman" w:hAnsi="Times New Roman" w:eastAsia="Times New Roman" w:cs="Times New Roman"/>
      <w:sz w:val="24"/>
      <w:szCs w:val="24"/>
      <w:lang w:val="en-US" w:eastAsia="zh-CN" w:bidi="ar-SA"/>
    </w:rPr>
  </w:style>
  <w:style w:type="character" w:customStyle="1" w:styleId="24">
    <w:name w:val="页眉 Char"/>
    <w:basedOn w:val="11"/>
    <w:link w:val="8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5">
    <w:name w:val="页脚 Char"/>
    <w:basedOn w:val="11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2049</Words>
  <Characters>2205</Characters>
  <Lines>39</Lines>
  <Paragraphs>11</Paragraphs>
  <TotalTime>37</TotalTime>
  <ScaleCrop>false</ScaleCrop>
  <LinksUpToDate>false</LinksUpToDate>
  <CharactersWithSpaces>2219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2024-03-26T01:27:00Z</dcterms:created>
  <dc:creator>wangqian</dc:creator>
  <cp:lastModifiedBy>默默</cp:lastModifiedBy>
  <dcterms:modified xsi:type="dcterms:W3CDTF">2025-07-08T06:50:32Z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2D1F3E9BFB5D4A50A95F8CB65A2AA98F_13</vt:lpwstr>
  </property>
  <property fmtid="{D5CDD505-2E9C-101B-9397-08002B2CF9AE}" pid="4" name="KSOTemplateDocerSaveRecord">
    <vt:lpwstr>eyJoZGlkIjoiYWI0MTczMTlmZGQwMDlkNjE0Y2E2NDViNmNjNWY1ZmYiLCJ1c2VySWQiOiI3MzkzMzY4MTcifQ==</vt:lpwstr>
  </property>
</Properties>
</file>