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CF7D5A">
      <w:pPr>
        <w:pStyle w:val="2"/>
        <w:pageBreakBefore w:val="0"/>
        <w:kinsoku/>
        <w:wordWrap/>
        <w:overflowPunct/>
        <w:topLinePunct w:val="0"/>
        <w:autoSpaceDE/>
        <w:autoSpaceDN/>
        <w:bidi w:val="0"/>
        <w:adjustRightInd/>
        <w:snapToGrid/>
        <w:spacing w:before="157" w:beforeLines="50" w:after="157" w:afterLines="50" w:line="360" w:lineRule="auto"/>
        <w:rPr>
          <w:rFonts w:hint="eastAsia" w:ascii="宋体" w:hAnsi="宋体" w:eastAsia="宋体" w:cs="宋体"/>
          <w:sz w:val="24"/>
          <w:szCs w:val="24"/>
        </w:rPr>
      </w:pPr>
      <w:r>
        <w:rPr>
          <w:rFonts w:hint="eastAsia" w:ascii="宋体" w:hAnsi="宋体" w:eastAsia="宋体" w:cs="宋体"/>
          <w:sz w:val="24"/>
          <w:szCs w:val="24"/>
        </w:rPr>
        <w:t>3.2.2  居民企业（核定征收）企业所得税年度申报——1053</w:t>
      </w:r>
    </w:p>
    <w:p w14:paraId="38795123">
      <w:pPr>
        <w:rPr>
          <w:rFonts w:hint="eastAsia"/>
        </w:rPr>
      </w:pPr>
    </w:p>
    <w:p w14:paraId="1C29576D">
      <w:pPr>
        <w:pStyle w:val="3"/>
        <w:pageBreakBefore w:val="0"/>
        <w:kinsoku/>
        <w:wordWrap/>
        <w:overflowPunct/>
        <w:topLinePunct w:val="0"/>
        <w:autoSpaceDE/>
        <w:autoSpaceDN/>
        <w:bidi w:val="0"/>
        <w:adjustRightInd/>
        <w:snapToGrid/>
        <w:spacing w:before="157" w:beforeLines="50" w:after="157" w:afterLines="50" w:line="360" w:lineRule="auto"/>
        <w:rPr>
          <w:rFonts w:hint="eastAsia" w:ascii="宋体" w:hAnsi="宋体" w:eastAsia="宋体" w:cs="宋体"/>
          <w:sz w:val="24"/>
          <w:szCs w:val="24"/>
        </w:rPr>
      </w:pPr>
      <w:bookmarkStart w:id="0" w:name="_GoBack"/>
      <w:r>
        <w:rPr>
          <w:rFonts w:hint="eastAsia" w:ascii="宋体" w:hAnsi="宋体" w:eastAsia="宋体" w:cs="宋体"/>
          <w:sz w:val="24"/>
          <w:szCs w:val="24"/>
        </w:rPr>
        <w:t>一、业务概述</w:t>
      </w:r>
    </w:p>
    <w:p w14:paraId="0122AAB9">
      <w:pPr>
        <w:keepNext/>
        <w:pageBreakBefore w:val="0"/>
        <w:kinsoku/>
        <w:wordWrap/>
        <w:overflowPunct/>
        <w:topLinePunct w:val="0"/>
        <w:autoSpaceDE/>
        <w:autoSpaceDN/>
        <w:bidi w:val="0"/>
        <w:adjustRightInd/>
        <w:snapToGrid/>
        <w:spacing w:before="157" w:beforeLines="50" w:after="157" w:afterLines="50"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kern w:val="0"/>
          <w:sz w:val="24"/>
          <w:szCs w:val="24"/>
        </w:rPr>
        <w:t>按照企业所得税核定征收办法缴纳企业所得税的居民企业依照税收法律、法规、规章及其他有关企业所得税的规定，在规定的纳税期限内向税务机关提交《中华人民共和国企业所得税月（季）度预缴和年度纳税申报表（B类）》及其他相关资料，向税务机关进行企业所得税年度申报。</w:t>
      </w:r>
      <w:r>
        <w:rPr>
          <w:rFonts w:hint="eastAsia" w:ascii="宋体" w:hAnsi="宋体" w:eastAsia="宋体" w:cs="宋体"/>
          <w:kern w:val="0"/>
          <w:sz w:val="24"/>
          <w:szCs w:val="24"/>
          <w:highlight w:val="yellow"/>
        </w:rPr>
        <w:t>实行核定定额征收企业所得税的纳税人，不进行汇算清缴。</w:t>
      </w:r>
    </w:p>
    <w:p w14:paraId="4CC58A10">
      <w:pPr>
        <w:pStyle w:val="3"/>
        <w:pageBreakBefore w:val="0"/>
        <w:kinsoku/>
        <w:wordWrap/>
        <w:overflowPunct/>
        <w:topLinePunct w:val="0"/>
        <w:autoSpaceDE/>
        <w:autoSpaceDN/>
        <w:bidi w:val="0"/>
        <w:adjustRightInd/>
        <w:snapToGrid/>
        <w:spacing w:before="157" w:beforeLines="50" w:after="157" w:afterLines="50" w:line="360" w:lineRule="auto"/>
        <w:rPr>
          <w:rFonts w:hint="eastAsia" w:ascii="宋体" w:hAnsi="宋体" w:eastAsia="宋体" w:cs="宋体"/>
          <w:b/>
          <w:sz w:val="24"/>
          <w:szCs w:val="24"/>
        </w:rPr>
      </w:pPr>
      <w:r>
        <w:rPr>
          <w:rFonts w:hint="eastAsia" w:ascii="宋体" w:hAnsi="宋体" w:eastAsia="宋体" w:cs="宋体"/>
          <w:b/>
          <w:sz w:val="24"/>
          <w:szCs w:val="24"/>
        </w:rPr>
        <w:t>二、办理流程</w:t>
      </w:r>
    </w:p>
    <w:p w14:paraId="647D450A">
      <w:pPr>
        <w:pageBreakBefore w:val="0"/>
        <w:kinsoku/>
        <w:wordWrap/>
        <w:overflowPunct/>
        <w:topLinePunct w:val="0"/>
        <w:autoSpaceDE/>
        <w:autoSpaceDN/>
        <w:bidi w:val="0"/>
        <w:adjustRightInd/>
        <w:snapToGrid/>
        <w:spacing w:before="157" w:beforeLines="50" w:after="157"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1.纳税人通过应申报提示提醒信息申报链接或通过菜单进入“居民企业（核定征收）企业所得税年度申报”模块；</w:t>
      </w:r>
    </w:p>
    <w:p w14:paraId="05CFE907">
      <w:pPr>
        <w:pageBreakBefore w:val="0"/>
        <w:kinsoku/>
        <w:wordWrap/>
        <w:overflowPunct/>
        <w:topLinePunct w:val="0"/>
        <w:autoSpaceDE/>
        <w:autoSpaceDN/>
        <w:bidi w:val="0"/>
        <w:adjustRightInd/>
        <w:snapToGrid/>
        <w:spacing w:before="157" w:beforeLines="50" w:after="157"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2.纳税人进入填报表单界面并预填申报数据；</w:t>
      </w:r>
    </w:p>
    <w:p w14:paraId="6FA5C6D5">
      <w:pPr>
        <w:pageBreakBefore w:val="0"/>
        <w:kinsoku/>
        <w:wordWrap/>
        <w:overflowPunct/>
        <w:topLinePunct w:val="0"/>
        <w:autoSpaceDE/>
        <w:autoSpaceDN/>
        <w:bidi w:val="0"/>
        <w:adjustRightInd/>
        <w:snapToGrid/>
        <w:spacing w:before="157" w:beforeLines="50" w:after="157"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3.纳税人确认/修改申报表信息，点击“申报”按钮提交申报；</w:t>
      </w:r>
    </w:p>
    <w:p w14:paraId="4C65CE1E">
      <w:pPr>
        <w:pStyle w:val="2"/>
        <w:pageBreakBefore w:val="0"/>
        <w:kinsoku/>
        <w:wordWrap/>
        <w:overflowPunct/>
        <w:topLinePunct w:val="0"/>
        <w:autoSpaceDE/>
        <w:autoSpaceDN/>
        <w:bidi w:val="0"/>
        <w:adjustRightInd/>
        <w:snapToGrid/>
        <w:spacing w:before="157" w:beforeLines="50" w:after="157" w:afterLines="50"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4.缴纳税款，办结流程。</w:t>
      </w:r>
    </w:p>
    <w:p w14:paraId="6DDBB801">
      <w:pPr>
        <w:pStyle w:val="3"/>
        <w:pageBreakBefore w:val="0"/>
        <w:kinsoku/>
        <w:wordWrap/>
        <w:overflowPunct/>
        <w:topLinePunct w:val="0"/>
        <w:autoSpaceDE/>
        <w:autoSpaceDN/>
        <w:bidi w:val="0"/>
        <w:adjustRightInd/>
        <w:snapToGrid/>
        <w:spacing w:before="157" w:beforeLines="50" w:after="157" w:afterLines="50" w:line="360" w:lineRule="auto"/>
        <w:rPr>
          <w:rFonts w:hint="eastAsia" w:ascii="宋体" w:hAnsi="宋体" w:eastAsia="宋体" w:cs="宋体"/>
          <w:b/>
          <w:sz w:val="24"/>
          <w:szCs w:val="24"/>
        </w:rPr>
      </w:pPr>
      <w:r>
        <w:rPr>
          <w:rFonts w:hint="eastAsia" w:ascii="宋体" w:hAnsi="宋体" w:eastAsia="宋体" w:cs="宋体"/>
          <w:b/>
          <w:sz w:val="24"/>
          <w:szCs w:val="24"/>
          <w:lang w:val="en-US" w:eastAsia="zh-CN"/>
        </w:rPr>
        <w:t>三</w:t>
      </w:r>
      <w:r>
        <w:rPr>
          <w:rFonts w:hint="eastAsia" w:ascii="宋体" w:hAnsi="宋体" w:eastAsia="宋体" w:cs="宋体"/>
          <w:b/>
          <w:sz w:val="24"/>
          <w:szCs w:val="24"/>
        </w:rPr>
        <w:t>、功能路径</w:t>
      </w:r>
    </w:p>
    <w:p w14:paraId="782379AD">
      <w:pPr>
        <w:pageBreakBefore w:val="0"/>
        <w:kinsoku/>
        <w:wordWrap/>
        <w:overflowPunct/>
        <w:topLinePunct w:val="0"/>
        <w:autoSpaceDE/>
        <w:autoSpaceDN/>
        <w:bidi w:val="0"/>
        <w:adjustRightInd/>
        <w:snapToGrid/>
        <w:spacing w:before="157" w:beforeLines="50" w:after="157" w:afterLines="50"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1.【我要办税】-【税费申报及缴纳】-【居民企业（核定征收）企业所得税年度申报】</w:t>
      </w:r>
    </w:p>
    <w:p w14:paraId="0993E77B">
      <w:pPr>
        <w:pageBreakBefore w:val="0"/>
        <w:kinsoku/>
        <w:wordWrap/>
        <w:overflowPunct/>
        <w:topLinePunct w:val="0"/>
        <w:autoSpaceDE/>
        <w:autoSpaceDN/>
        <w:bidi w:val="0"/>
        <w:adjustRightInd/>
        <w:snapToGrid/>
        <w:spacing w:before="157" w:beforeLines="50" w:after="157" w:afterLines="50" w:line="360" w:lineRule="auto"/>
        <w:ind w:firstLine="480" w:firstLineChars="200"/>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2.本期应申报提醒进入办税功能</w:t>
      </w:r>
    </w:p>
    <w:p w14:paraId="2B1080D7">
      <w:pPr>
        <w:pageBreakBefore w:val="0"/>
        <w:kinsoku/>
        <w:wordWrap/>
        <w:overflowPunct/>
        <w:topLinePunct w:val="0"/>
        <w:autoSpaceDE/>
        <w:autoSpaceDN/>
        <w:bidi w:val="0"/>
        <w:adjustRightInd/>
        <w:snapToGrid/>
        <w:spacing w:before="157" w:beforeLines="50" w:after="157" w:afterLines="50"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shd w:val="clear" w:color="auto" w:fill="FFFFFF"/>
        </w:rPr>
        <w:t>3.搜索框直接搜索</w:t>
      </w:r>
      <w:r>
        <w:rPr>
          <w:rFonts w:hint="eastAsia" w:ascii="宋体" w:hAnsi="宋体" w:eastAsia="宋体" w:cs="宋体"/>
          <w:bCs/>
          <w:sz w:val="24"/>
          <w:szCs w:val="24"/>
        </w:rPr>
        <w:t>居民企业（核定征收）企业所得税年度申报</w:t>
      </w:r>
    </w:p>
    <w:p w14:paraId="27E82F8D">
      <w:pPr>
        <w:pStyle w:val="3"/>
        <w:pageBreakBefore w:val="0"/>
        <w:kinsoku/>
        <w:wordWrap/>
        <w:overflowPunct/>
        <w:topLinePunct w:val="0"/>
        <w:autoSpaceDE/>
        <w:autoSpaceDN/>
        <w:bidi w:val="0"/>
        <w:adjustRightInd/>
        <w:snapToGrid/>
        <w:spacing w:before="157" w:beforeLines="50" w:after="157" w:afterLines="50" w:line="360" w:lineRule="auto"/>
        <w:rPr>
          <w:rFonts w:hint="eastAsia" w:ascii="宋体" w:hAnsi="宋体" w:eastAsia="宋体" w:cs="宋体"/>
          <w:b/>
          <w:sz w:val="24"/>
          <w:szCs w:val="24"/>
        </w:rPr>
      </w:pPr>
      <w:r>
        <w:rPr>
          <w:rFonts w:hint="eastAsia" w:ascii="宋体" w:hAnsi="宋体" w:eastAsia="宋体" w:cs="宋体"/>
          <w:b/>
          <w:sz w:val="24"/>
          <w:szCs w:val="24"/>
          <w:lang w:val="en-US" w:eastAsia="zh-CN"/>
        </w:rPr>
        <w:t>四</w:t>
      </w:r>
      <w:r>
        <w:rPr>
          <w:rFonts w:hint="eastAsia" w:ascii="宋体" w:hAnsi="宋体" w:eastAsia="宋体" w:cs="宋体"/>
          <w:b/>
          <w:sz w:val="24"/>
          <w:szCs w:val="24"/>
        </w:rPr>
        <w:t>、操作步骤</w:t>
      </w:r>
    </w:p>
    <w:p w14:paraId="3D267252">
      <w:pPr>
        <w:pageBreakBefore w:val="0"/>
        <w:kinsoku/>
        <w:wordWrap/>
        <w:overflowPunct/>
        <w:topLinePunct w:val="0"/>
        <w:autoSpaceDE/>
        <w:autoSpaceDN/>
        <w:bidi w:val="0"/>
        <w:adjustRightInd/>
        <w:snapToGrid/>
        <w:spacing w:before="157" w:beforeLines="50" w:after="157"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温馨提示：建议纳税人在征收期内</w:t>
      </w:r>
      <w:r>
        <w:rPr>
          <w:rFonts w:hint="eastAsia" w:ascii="宋体" w:hAnsi="宋体" w:eastAsia="宋体" w:cs="宋体"/>
          <w:sz w:val="24"/>
          <w:szCs w:val="24"/>
          <w:highlight w:val="yellow"/>
        </w:rPr>
        <w:t>先报送财务报表，再申报同期企业所得税</w:t>
      </w:r>
      <w:r>
        <w:rPr>
          <w:rFonts w:hint="eastAsia" w:ascii="宋体" w:hAnsi="宋体" w:eastAsia="宋体" w:cs="宋体"/>
          <w:sz w:val="24"/>
          <w:szCs w:val="24"/>
        </w:rPr>
        <w:t>。</w:t>
      </w:r>
    </w:p>
    <w:p w14:paraId="747BDEC3">
      <w:pPr>
        <w:pageBreakBefore w:val="0"/>
        <w:kinsoku/>
        <w:wordWrap/>
        <w:overflowPunct/>
        <w:topLinePunct w:val="0"/>
        <w:autoSpaceDE/>
        <w:autoSpaceDN/>
        <w:bidi w:val="0"/>
        <w:adjustRightInd/>
        <w:snapToGrid/>
        <w:spacing w:before="157" w:beforeLines="50" w:after="157" w:afterLines="50" w:line="360" w:lineRule="auto"/>
        <w:ind w:left="420" w:leftChars="200"/>
        <w:jc w:val="left"/>
        <w:rPr>
          <w:rFonts w:hint="eastAsia" w:ascii="宋体" w:hAnsi="宋体" w:eastAsia="宋体" w:cs="宋体"/>
          <w:sz w:val="24"/>
          <w:szCs w:val="24"/>
        </w:rPr>
      </w:pPr>
      <w:r>
        <w:rPr>
          <w:rFonts w:hint="eastAsia" w:ascii="宋体" w:hAnsi="宋体" w:eastAsia="宋体" w:cs="宋体"/>
          <w:sz w:val="24"/>
          <w:szCs w:val="24"/>
        </w:rPr>
        <w:t>1.（1）登录新电子税局后，点击【我要办税】 -【税费申报及缴纳】- 【居民企业（核定征收）企业所得税年度申报】功能菜单。</w:t>
      </w:r>
    </w:p>
    <w:p w14:paraId="50A5F152">
      <w:pPr>
        <w:pageBreakBefore w:val="0"/>
        <w:kinsoku/>
        <w:wordWrap/>
        <w:overflowPunct/>
        <w:topLinePunct w:val="0"/>
        <w:autoSpaceDE/>
        <w:autoSpaceDN/>
        <w:bidi w:val="0"/>
        <w:adjustRightInd/>
        <w:snapToGrid/>
        <w:spacing w:before="157" w:beforeLines="50" w:after="157" w:afterLines="50"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6055" cy="2325370"/>
            <wp:effectExtent l="0" t="0" r="4445" b="11430"/>
            <wp:docPr id="14" name="图片 14" descr="171152231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11522313408"/>
                    <pic:cNvPicPr>
                      <a:picLocks noChangeAspect="1"/>
                    </pic:cNvPicPr>
                  </pic:nvPicPr>
                  <pic:blipFill>
                    <a:blip r:embed="rId4" cstate="print"/>
                    <a:stretch>
                      <a:fillRect/>
                    </a:stretch>
                  </pic:blipFill>
                  <pic:spPr>
                    <a:xfrm>
                      <a:off x="0" y="0"/>
                      <a:ext cx="5266055" cy="2325370"/>
                    </a:xfrm>
                    <a:prstGeom prst="rect">
                      <a:avLst/>
                    </a:prstGeom>
                  </pic:spPr>
                </pic:pic>
              </a:graphicData>
            </a:graphic>
          </wp:inline>
        </w:drawing>
      </w:r>
    </w:p>
    <w:p w14:paraId="22A59F28">
      <w:pPr>
        <w:pStyle w:val="14"/>
        <w:pageBreakBefore w:val="0"/>
        <w:numPr>
          <w:ilvl w:val="0"/>
          <w:numId w:val="1"/>
        </w:numPr>
        <w:kinsoku/>
        <w:wordWrap/>
        <w:overflowPunct/>
        <w:topLinePunct w:val="0"/>
        <w:autoSpaceDE/>
        <w:autoSpaceDN/>
        <w:bidi w:val="0"/>
        <w:adjustRightInd/>
        <w:snapToGrid/>
        <w:spacing w:before="157" w:beforeLines="50" w:after="157" w:afterLines="50" w:line="360" w:lineRule="auto"/>
        <w:ind w:firstLine="640"/>
        <w:rPr>
          <w:rFonts w:hint="eastAsia" w:ascii="宋体" w:hAnsi="宋体" w:eastAsia="宋体" w:cs="宋体"/>
          <w:sz w:val="24"/>
          <w:szCs w:val="24"/>
        </w:rPr>
      </w:pPr>
      <w:r>
        <w:rPr>
          <w:rFonts w:hint="eastAsia" w:ascii="宋体" w:hAnsi="宋体" w:eastAsia="宋体" w:cs="宋体"/>
          <w:sz w:val="24"/>
          <w:szCs w:val="24"/>
        </w:rPr>
        <w:t>也可以直接在【我的待办】中进行申报。</w:t>
      </w:r>
    </w:p>
    <w:p w14:paraId="433C03F9">
      <w:pPr>
        <w:pStyle w:val="14"/>
        <w:pageBreakBefore w:val="0"/>
        <w:kinsoku/>
        <w:wordWrap/>
        <w:overflowPunct/>
        <w:topLinePunct w:val="0"/>
        <w:autoSpaceDE/>
        <w:autoSpaceDN/>
        <w:bidi w:val="0"/>
        <w:adjustRightInd/>
        <w:snapToGrid/>
        <w:spacing w:before="157" w:beforeLines="50" w:after="157" w:afterLines="50" w:line="360" w:lineRule="auto"/>
        <w:ind w:firstLine="0" w:firstLineChars="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4310" cy="2011680"/>
            <wp:effectExtent l="0" t="0" r="8890" b="7620"/>
            <wp:docPr id="1" name="图片 1" descr="171152625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11526254566"/>
                    <pic:cNvPicPr>
                      <a:picLocks noChangeAspect="1"/>
                    </pic:cNvPicPr>
                  </pic:nvPicPr>
                  <pic:blipFill>
                    <a:blip r:embed="rId5" cstate="print"/>
                    <a:stretch>
                      <a:fillRect/>
                    </a:stretch>
                  </pic:blipFill>
                  <pic:spPr>
                    <a:xfrm>
                      <a:off x="0" y="0"/>
                      <a:ext cx="5274310" cy="2011680"/>
                    </a:xfrm>
                    <a:prstGeom prst="rect">
                      <a:avLst/>
                    </a:prstGeom>
                  </pic:spPr>
                </pic:pic>
              </a:graphicData>
            </a:graphic>
          </wp:inline>
        </w:drawing>
      </w:r>
    </w:p>
    <w:p w14:paraId="7B39D9E8">
      <w:pPr>
        <w:pageBreakBefore w:val="0"/>
        <w:kinsoku/>
        <w:wordWrap/>
        <w:overflowPunct/>
        <w:topLinePunct w:val="0"/>
        <w:autoSpaceDE/>
        <w:autoSpaceDN/>
        <w:bidi w:val="0"/>
        <w:adjustRightInd/>
        <w:snapToGrid/>
        <w:spacing w:before="157" w:beforeLines="50" w:after="157"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2.进入系统后，根据纳税人核定征收方式分为按核定应税所得率（能核算收入总额的）、核定应税所得率（能核算成本费用总额的）两种方式：</w:t>
      </w:r>
    </w:p>
    <w:p w14:paraId="7E843C0C">
      <w:pPr>
        <w:pageBreakBefore w:val="0"/>
        <w:kinsoku/>
        <w:wordWrap/>
        <w:overflowPunct/>
        <w:topLinePunct w:val="0"/>
        <w:autoSpaceDE/>
        <w:autoSpaceDN/>
        <w:bidi w:val="0"/>
        <w:adjustRightInd/>
        <w:snapToGrid/>
        <w:spacing w:before="157" w:beforeLines="50" w:after="157"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（1）若纳税人为按核定应税所得率（能核算收入总额的）</w:t>
      </w:r>
    </w:p>
    <w:p w14:paraId="28B6C8B7">
      <w:pPr>
        <w:pageBreakBefore w:val="0"/>
        <w:kinsoku/>
        <w:wordWrap/>
        <w:overflowPunct/>
        <w:topLinePunct w:val="0"/>
        <w:autoSpaceDE/>
        <w:autoSpaceDN/>
        <w:bidi w:val="0"/>
        <w:adjustRightInd/>
        <w:snapToGrid/>
        <w:spacing w:before="157" w:beforeLines="50" w:after="157"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①纳税人需填报“收入总额”栏，“从业人数”、“资产总额”会依据月（季）度申报表中填写的从业人数、资产总额计算出平均值并预填到申报表中，纳税人可手工调整。如下图：</w:t>
      </w:r>
    </w:p>
    <w:p w14:paraId="5340C246">
      <w:pPr>
        <w:pageBreakBefore w:val="0"/>
        <w:kinsoku/>
        <w:wordWrap/>
        <w:overflowPunct/>
        <w:topLinePunct w:val="0"/>
        <w:autoSpaceDE/>
        <w:autoSpaceDN/>
        <w:bidi w:val="0"/>
        <w:adjustRightInd/>
        <w:snapToGrid/>
        <w:spacing w:before="157" w:beforeLines="50" w:after="157" w:afterLines="50"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drawing>
          <wp:inline distT="0" distB="0" distL="114300" distR="114300">
            <wp:extent cx="5264785" cy="2327910"/>
            <wp:effectExtent l="0" t="0" r="5715" b="8890"/>
            <wp:docPr id="16" name="图片 16" descr="171152264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11522645629"/>
                    <pic:cNvPicPr>
                      <a:picLocks noChangeAspect="1"/>
                    </pic:cNvPicPr>
                  </pic:nvPicPr>
                  <pic:blipFill>
                    <a:blip r:embed="rId6" cstate="print"/>
                    <a:stretch>
                      <a:fillRect/>
                    </a:stretch>
                  </pic:blipFill>
                  <pic:spPr>
                    <a:xfrm>
                      <a:off x="0" y="0"/>
                      <a:ext cx="5264785" cy="2327910"/>
                    </a:xfrm>
                    <a:prstGeom prst="rect">
                      <a:avLst/>
                    </a:prstGeom>
                  </pic:spPr>
                </pic:pic>
              </a:graphicData>
            </a:graphic>
          </wp:inline>
        </w:drawing>
      </w:r>
    </w:p>
    <w:p w14:paraId="353E7038">
      <w:pPr>
        <w:pageBreakBefore w:val="0"/>
        <w:kinsoku/>
        <w:wordWrap/>
        <w:overflowPunct/>
        <w:topLinePunct w:val="0"/>
        <w:autoSpaceDE/>
        <w:autoSpaceDN/>
        <w:bidi w:val="0"/>
        <w:adjustRightInd/>
        <w:snapToGrid/>
        <w:spacing w:before="157" w:beforeLines="50" w:after="157"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注意：若已申报年度财务报表利润表，收入总额行次自动带出财务报表利润表“营业收入+营业外收入”金额，允许纳税人手工更正。</w:t>
      </w:r>
    </w:p>
    <w:p w14:paraId="5CE58A5B">
      <w:pPr>
        <w:pageBreakBefore w:val="0"/>
        <w:kinsoku/>
        <w:wordWrap/>
        <w:overflowPunct/>
        <w:topLinePunct w:val="0"/>
        <w:autoSpaceDE/>
        <w:autoSpaceDN/>
        <w:bidi w:val="0"/>
        <w:adjustRightInd/>
        <w:snapToGrid/>
        <w:spacing w:before="157" w:beforeLines="50" w:after="157"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②</w:t>
      </w:r>
      <w:r>
        <w:rPr>
          <w:rFonts w:hint="eastAsia" w:ascii="宋体" w:hAnsi="宋体" w:eastAsia="宋体" w:cs="宋体"/>
          <w:sz w:val="24"/>
          <w:szCs w:val="24"/>
          <w:highlight w:val="none"/>
        </w:rPr>
        <w:t>如需填报不征税收入或免税收入事项，可点击其他不征税收入或免税收入项的【前往填写】按钮，系统弹出填写界面进行填报。如下图</w:t>
      </w:r>
      <w:r>
        <w:rPr>
          <w:rFonts w:hint="eastAsia" w:ascii="宋体" w:hAnsi="宋体" w:eastAsia="宋体" w:cs="宋体"/>
          <w:sz w:val="24"/>
          <w:szCs w:val="24"/>
        </w:rPr>
        <w:t>：</w:t>
      </w:r>
    </w:p>
    <w:p w14:paraId="75DEC2F3">
      <w:pPr>
        <w:pStyle w:val="2"/>
        <w:pageBreakBefore w:val="0"/>
        <w:kinsoku/>
        <w:wordWrap/>
        <w:overflowPunct/>
        <w:topLinePunct w:val="0"/>
        <w:autoSpaceDE/>
        <w:autoSpaceDN/>
        <w:bidi w:val="0"/>
        <w:adjustRightInd/>
        <w:snapToGrid/>
        <w:spacing w:before="157" w:beforeLines="50" w:after="157" w:afterLines="50" w:line="360" w:lineRule="auto"/>
        <w:ind w:left="0" w:leftChars="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4785" cy="2312035"/>
            <wp:effectExtent l="0" t="0" r="5715" b="12065"/>
            <wp:docPr id="17" name="图片 17" descr="171152277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11522774929"/>
                    <pic:cNvPicPr>
                      <a:picLocks noChangeAspect="1"/>
                    </pic:cNvPicPr>
                  </pic:nvPicPr>
                  <pic:blipFill>
                    <a:blip r:embed="rId7" cstate="print"/>
                    <a:stretch>
                      <a:fillRect/>
                    </a:stretch>
                  </pic:blipFill>
                  <pic:spPr>
                    <a:xfrm>
                      <a:off x="0" y="0"/>
                      <a:ext cx="5264785" cy="2312035"/>
                    </a:xfrm>
                    <a:prstGeom prst="rect">
                      <a:avLst/>
                    </a:prstGeom>
                  </pic:spPr>
                </pic:pic>
              </a:graphicData>
            </a:graphic>
          </wp:inline>
        </w:drawing>
      </w:r>
    </w:p>
    <w:p w14:paraId="64116B38">
      <w:pPr>
        <w:pageBreakBefore w:val="0"/>
        <w:kinsoku/>
        <w:wordWrap/>
        <w:overflowPunct/>
        <w:topLinePunct w:val="0"/>
        <w:autoSpaceDE/>
        <w:autoSpaceDN/>
        <w:bidi w:val="0"/>
        <w:adjustRightInd/>
        <w:snapToGrid/>
        <w:spacing w:before="157" w:beforeLines="50" w:after="157"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（2）若纳税人为核定应税所得率（能核算成本费用总额的）</w:t>
      </w:r>
    </w:p>
    <w:p w14:paraId="1B41DF31">
      <w:pPr>
        <w:pageBreakBefore w:val="0"/>
        <w:kinsoku/>
        <w:wordWrap/>
        <w:overflowPunct/>
        <w:topLinePunct w:val="0"/>
        <w:autoSpaceDE/>
        <w:autoSpaceDN/>
        <w:bidi w:val="0"/>
        <w:adjustRightInd/>
        <w:snapToGrid/>
        <w:spacing w:before="157" w:beforeLines="50" w:after="157"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纳税人需填报“成本费用总额”栏，“从业人数”、“资产总额”会依据月（季）度申报表中填写的从业人数、资产总额计算出平均值并预填到申报表中，纳税人可手工调整。如下图：</w:t>
      </w:r>
    </w:p>
    <w:p w14:paraId="4C9725C5">
      <w:pPr>
        <w:pageBreakBefore w:val="0"/>
        <w:kinsoku/>
        <w:wordWrap/>
        <w:overflowPunct/>
        <w:topLinePunct w:val="0"/>
        <w:autoSpaceDE/>
        <w:autoSpaceDN/>
        <w:bidi w:val="0"/>
        <w:adjustRightInd/>
        <w:snapToGrid/>
        <w:spacing w:before="157" w:beforeLines="50" w:after="157" w:afterLines="50" w:line="360" w:lineRule="auto"/>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7325" cy="3322955"/>
            <wp:effectExtent l="0" t="0" r="3175" b="44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8" cstate="print"/>
                    <a:stretch>
                      <a:fillRect/>
                    </a:stretch>
                  </pic:blipFill>
                  <pic:spPr>
                    <a:xfrm>
                      <a:off x="0" y="0"/>
                      <a:ext cx="5267325" cy="3322955"/>
                    </a:xfrm>
                    <a:prstGeom prst="rect">
                      <a:avLst/>
                    </a:prstGeom>
                    <a:noFill/>
                    <a:ln>
                      <a:noFill/>
                    </a:ln>
                  </pic:spPr>
                </pic:pic>
              </a:graphicData>
            </a:graphic>
          </wp:inline>
        </w:drawing>
      </w:r>
    </w:p>
    <w:p w14:paraId="47E253B8">
      <w:pPr>
        <w:pStyle w:val="6"/>
        <w:pageBreakBefore w:val="0"/>
        <w:kinsoku/>
        <w:wordWrap/>
        <w:overflowPunct/>
        <w:topLinePunct w:val="0"/>
        <w:autoSpaceDE/>
        <w:autoSpaceDN/>
        <w:bidi w:val="0"/>
        <w:adjustRightInd/>
        <w:snapToGrid/>
        <w:spacing w:before="157" w:beforeLines="50" w:after="157"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注意：若已申报年度财务报表利润表，成本费用总额行次自动带出财务报表利润表“营业成本+营业税金及附加+销售费用+管理费用(含研发费用）+财务费用”金额，允许纳税人手工更正。</w:t>
      </w:r>
    </w:p>
    <w:p w14:paraId="1E8AF483">
      <w:pPr>
        <w:pageBreakBefore w:val="0"/>
        <w:kinsoku/>
        <w:wordWrap/>
        <w:overflowPunct/>
        <w:topLinePunct w:val="0"/>
        <w:autoSpaceDE/>
        <w:autoSpaceDN/>
        <w:bidi w:val="0"/>
        <w:adjustRightInd/>
        <w:snapToGrid/>
        <w:spacing w:before="157" w:beforeLines="50" w:after="157"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highlight w:val="none"/>
        </w:rPr>
        <w:t>3.如企业需填报《居民企业参股外国企业信息报告表》可点击右上角【填写参股外国企业报告表】按钮跳转报告表填写界面。如下图</w:t>
      </w:r>
      <w:r>
        <w:rPr>
          <w:rFonts w:hint="eastAsia" w:ascii="宋体" w:hAnsi="宋体" w:eastAsia="宋体" w:cs="宋体"/>
          <w:sz w:val="24"/>
          <w:szCs w:val="24"/>
        </w:rPr>
        <w:t>：</w:t>
      </w:r>
    </w:p>
    <w:p w14:paraId="29888558">
      <w:pPr>
        <w:pStyle w:val="2"/>
        <w:pageBreakBefore w:val="0"/>
        <w:kinsoku/>
        <w:wordWrap/>
        <w:overflowPunct/>
        <w:topLinePunct w:val="0"/>
        <w:autoSpaceDE/>
        <w:autoSpaceDN/>
        <w:bidi w:val="0"/>
        <w:adjustRightInd/>
        <w:snapToGrid/>
        <w:spacing w:before="157" w:beforeLines="50" w:after="157" w:afterLines="50" w:line="360" w:lineRule="auto"/>
        <w:ind w:left="0" w:leftChars="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1135" cy="2292985"/>
            <wp:effectExtent l="0" t="0" r="12065" b="5715"/>
            <wp:docPr id="20" name="图片 20" descr="171152427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11524273104"/>
                    <pic:cNvPicPr>
                      <a:picLocks noChangeAspect="1"/>
                    </pic:cNvPicPr>
                  </pic:nvPicPr>
                  <pic:blipFill>
                    <a:blip r:embed="rId9" cstate="print"/>
                    <a:stretch>
                      <a:fillRect/>
                    </a:stretch>
                  </pic:blipFill>
                  <pic:spPr>
                    <a:xfrm>
                      <a:off x="0" y="0"/>
                      <a:ext cx="5271135" cy="2292985"/>
                    </a:xfrm>
                    <a:prstGeom prst="rect">
                      <a:avLst/>
                    </a:prstGeom>
                  </pic:spPr>
                </pic:pic>
              </a:graphicData>
            </a:graphic>
          </wp:inline>
        </w:drawing>
      </w:r>
    </w:p>
    <w:p w14:paraId="16B89E0F">
      <w:pPr>
        <w:pStyle w:val="14"/>
        <w:pageBreakBefore w:val="0"/>
        <w:kinsoku/>
        <w:wordWrap/>
        <w:overflowPunct/>
        <w:topLinePunct w:val="0"/>
        <w:autoSpaceDE/>
        <w:autoSpaceDN/>
        <w:bidi w:val="0"/>
        <w:adjustRightInd/>
        <w:snapToGrid/>
        <w:spacing w:before="157" w:beforeLines="50" w:after="157" w:afterLines="50" w:line="360" w:lineRule="auto"/>
        <w:ind w:firstLine="640"/>
        <w:rPr>
          <w:rFonts w:hint="eastAsia" w:ascii="宋体" w:hAnsi="宋体" w:eastAsia="宋体" w:cs="宋体"/>
          <w:kern w:val="2"/>
          <w:sz w:val="24"/>
          <w:szCs w:val="24"/>
        </w:rPr>
      </w:pPr>
      <w:r>
        <w:rPr>
          <w:rFonts w:hint="eastAsia" w:ascii="宋体" w:hAnsi="宋体" w:eastAsia="宋体" w:cs="宋体"/>
          <w:kern w:val="2"/>
          <w:sz w:val="24"/>
          <w:szCs w:val="24"/>
        </w:rPr>
        <w:t>①点击</w:t>
      </w:r>
      <w:r>
        <w:rPr>
          <w:rFonts w:hint="eastAsia" w:ascii="宋体" w:hAnsi="宋体" w:eastAsia="宋体" w:cs="宋体"/>
          <w:sz w:val="24"/>
          <w:szCs w:val="24"/>
        </w:rPr>
        <w:t>【</w:t>
      </w:r>
      <w:r>
        <w:rPr>
          <w:rFonts w:hint="eastAsia" w:ascii="宋体" w:hAnsi="宋体" w:eastAsia="宋体" w:cs="宋体"/>
          <w:kern w:val="2"/>
          <w:sz w:val="24"/>
          <w:szCs w:val="24"/>
        </w:rPr>
        <w:t>新增</w:t>
      </w:r>
      <w:r>
        <w:rPr>
          <w:rFonts w:hint="eastAsia" w:ascii="宋体" w:hAnsi="宋体" w:eastAsia="宋体" w:cs="宋体"/>
          <w:sz w:val="24"/>
          <w:szCs w:val="24"/>
        </w:rPr>
        <w:t>】</w:t>
      </w:r>
      <w:r>
        <w:rPr>
          <w:rFonts w:hint="eastAsia" w:ascii="宋体" w:hAnsi="宋体" w:eastAsia="宋体" w:cs="宋体"/>
          <w:kern w:val="2"/>
          <w:sz w:val="24"/>
          <w:szCs w:val="24"/>
        </w:rPr>
        <w:t>按钮进入报告表新增界面。如下图：</w:t>
      </w:r>
    </w:p>
    <w:p w14:paraId="0646EF2E">
      <w:pPr>
        <w:pageBreakBefore w:val="0"/>
        <w:kinsoku/>
        <w:wordWrap/>
        <w:overflowPunct/>
        <w:topLinePunct w:val="0"/>
        <w:autoSpaceDE/>
        <w:autoSpaceDN/>
        <w:bidi w:val="0"/>
        <w:adjustRightInd/>
        <w:snapToGrid/>
        <w:spacing w:before="157" w:beforeLines="50" w:after="157" w:afterLines="50"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353310"/>
            <wp:effectExtent l="0" t="0" r="13970" b="8890"/>
            <wp:docPr id="2" name="图片 1" descr="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age013.png"/>
                    <pic:cNvPicPr>
                      <a:picLocks noChangeAspect="1"/>
                    </pic:cNvPicPr>
                  </pic:nvPicPr>
                  <pic:blipFill>
                    <a:blip r:embed="rId10" cstate="print"/>
                    <a:stretch>
                      <a:fillRect/>
                    </a:stretch>
                  </pic:blipFill>
                  <pic:spPr>
                    <a:xfrm>
                      <a:off x="0" y="0"/>
                      <a:ext cx="5274310" cy="2353310"/>
                    </a:xfrm>
                    <a:prstGeom prst="rect">
                      <a:avLst/>
                    </a:prstGeom>
                  </pic:spPr>
                </pic:pic>
              </a:graphicData>
            </a:graphic>
          </wp:inline>
        </w:drawing>
      </w:r>
    </w:p>
    <w:p w14:paraId="1595E783">
      <w:pPr>
        <w:pStyle w:val="14"/>
        <w:pageBreakBefore w:val="0"/>
        <w:kinsoku/>
        <w:wordWrap/>
        <w:overflowPunct/>
        <w:topLinePunct w:val="0"/>
        <w:autoSpaceDE/>
        <w:autoSpaceDN/>
        <w:bidi w:val="0"/>
        <w:adjustRightInd/>
        <w:snapToGrid/>
        <w:spacing w:before="157" w:beforeLines="50" w:after="157" w:afterLines="50" w:line="360" w:lineRule="auto"/>
        <w:ind w:firstLine="640"/>
        <w:rPr>
          <w:rFonts w:hint="eastAsia" w:ascii="宋体" w:hAnsi="宋体" w:eastAsia="宋体" w:cs="宋体"/>
          <w:kern w:val="2"/>
          <w:sz w:val="24"/>
          <w:szCs w:val="24"/>
        </w:rPr>
      </w:pPr>
      <w:r>
        <w:rPr>
          <w:rFonts w:hint="eastAsia" w:ascii="宋体" w:hAnsi="宋体" w:eastAsia="宋体" w:cs="宋体"/>
          <w:kern w:val="2"/>
          <w:sz w:val="24"/>
          <w:szCs w:val="24"/>
        </w:rPr>
        <w:t>②填写完数据后，点击</w:t>
      </w:r>
      <w:r>
        <w:rPr>
          <w:rFonts w:hint="eastAsia" w:ascii="宋体" w:hAnsi="宋体" w:eastAsia="宋体" w:cs="宋体"/>
          <w:sz w:val="24"/>
          <w:szCs w:val="24"/>
        </w:rPr>
        <w:t>【</w:t>
      </w:r>
      <w:r>
        <w:rPr>
          <w:rFonts w:hint="eastAsia" w:ascii="宋体" w:hAnsi="宋体" w:eastAsia="宋体" w:cs="宋体"/>
          <w:kern w:val="2"/>
          <w:sz w:val="24"/>
          <w:szCs w:val="24"/>
        </w:rPr>
        <w:t>确定</w:t>
      </w:r>
      <w:r>
        <w:rPr>
          <w:rFonts w:hint="eastAsia" w:ascii="宋体" w:hAnsi="宋体" w:eastAsia="宋体" w:cs="宋体"/>
          <w:sz w:val="24"/>
          <w:szCs w:val="24"/>
        </w:rPr>
        <w:t>】</w:t>
      </w:r>
      <w:r>
        <w:rPr>
          <w:rFonts w:hint="eastAsia" w:ascii="宋体" w:hAnsi="宋体" w:eastAsia="宋体" w:cs="宋体"/>
          <w:kern w:val="2"/>
          <w:sz w:val="24"/>
          <w:szCs w:val="24"/>
        </w:rPr>
        <w:t>按钮，系统显示新增报告表基本信息。如下图：</w:t>
      </w:r>
    </w:p>
    <w:p w14:paraId="6D7FFC4E">
      <w:pPr>
        <w:pStyle w:val="14"/>
        <w:pageBreakBefore w:val="0"/>
        <w:kinsoku/>
        <w:wordWrap/>
        <w:overflowPunct/>
        <w:topLinePunct w:val="0"/>
        <w:autoSpaceDE/>
        <w:autoSpaceDN/>
        <w:bidi w:val="0"/>
        <w:adjustRightInd/>
        <w:snapToGrid/>
        <w:spacing w:before="157" w:beforeLines="50" w:after="157" w:afterLines="50" w:line="360" w:lineRule="auto"/>
        <w:ind w:firstLine="0" w:firstLineChars="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1135" cy="2292985"/>
            <wp:effectExtent l="0" t="0" r="5715" b="12065"/>
            <wp:docPr id="23" name="图片 23" descr="171152457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11524572327"/>
                    <pic:cNvPicPr>
                      <a:picLocks noChangeAspect="1"/>
                    </pic:cNvPicPr>
                  </pic:nvPicPr>
                  <pic:blipFill>
                    <a:blip r:embed="rId11" cstate="print"/>
                    <a:stretch>
                      <a:fillRect/>
                    </a:stretch>
                  </pic:blipFill>
                  <pic:spPr>
                    <a:xfrm>
                      <a:off x="0" y="0"/>
                      <a:ext cx="5271135" cy="2292985"/>
                    </a:xfrm>
                    <a:prstGeom prst="rect">
                      <a:avLst/>
                    </a:prstGeom>
                  </pic:spPr>
                </pic:pic>
              </a:graphicData>
            </a:graphic>
          </wp:inline>
        </w:drawing>
      </w:r>
    </w:p>
    <w:p w14:paraId="47F9CD9F">
      <w:pPr>
        <w:pageBreakBefore w:val="0"/>
        <w:kinsoku/>
        <w:wordWrap/>
        <w:overflowPunct/>
        <w:topLinePunct w:val="0"/>
        <w:autoSpaceDE/>
        <w:autoSpaceDN/>
        <w:bidi w:val="0"/>
        <w:adjustRightInd/>
        <w:snapToGrid/>
        <w:spacing w:before="157" w:beforeLines="50" w:after="157"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 如需预览表单，可点击【预览表单】按钮，系统显示表单预览界面。如下图：</w:t>
      </w:r>
    </w:p>
    <w:p w14:paraId="6A2B9CD5">
      <w:pPr>
        <w:pageBreakBefore w:val="0"/>
        <w:kinsoku/>
        <w:wordWrap/>
        <w:overflowPunct/>
        <w:topLinePunct w:val="0"/>
        <w:autoSpaceDE/>
        <w:autoSpaceDN/>
        <w:bidi w:val="0"/>
        <w:adjustRightInd/>
        <w:snapToGrid/>
        <w:spacing w:before="157" w:beforeLines="50" w:after="157" w:afterLines="50" w:line="360" w:lineRule="auto"/>
        <w:rPr>
          <w:rFonts w:hint="eastAsia" w:ascii="宋体" w:hAnsi="宋体" w:eastAsia="宋体" w:cs="宋体"/>
          <w:b/>
          <w:bCs/>
          <w:sz w:val="24"/>
          <w:szCs w:val="24"/>
        </w:rPr>
      </w:pPr>
      <w:r>
        <w:rPr>
          <w:rFonts w:hint="eastAsia" w:ascii="宋体" w:hAnsi="宋体" w:eastAsia="宋体" w:cs="宋体"/>
          <w:b/>
          <w:bCs/>
          <w:sz w:val="24"/>
          <w:szCs w:val="24"/>
        </w:rPr>
        <w:drawing>
          <wp:inline distT="0" distB="0" distL="114300" distR="114300">
            <wp:extent cx="5273675" cy="2377440"/>
            <wp:effectExtent l="0" t="0" r="9525" b="10160"/>
            <wp:docPr id="24" name="图片 14" descr="1711524809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descr="1711524809604"/>
                    <pic:cNvPicPr>
                      <a:picLocks noChangeAspect="1"/>
                    </pic:cNvPicPr>
                  </pic:nvPicPr>
                  <pic:blipFill>
                    <a:blip r:embed="rId12" cstate="print"/>
                    <a:stretch>
                      <a:fillRect/>
                    </a:stretch>
                  </pic:blipFill>
                  <pic:spPr>
                    <a:xfrm>
                      <a:off x="0" y="0"/>
                      <a:ext cx="5273675" cy="2377440"/>
                    </a:xfrm>
                    <a:prstGeom prst="rect">
                      <a:avLst/>
                    </a:prstGeom>
                    <a:noFill/>
                    <a:ln>
                      <a:noFill/>
                    </a:ln>
                  </pic:spPr>
                </pic:pic>
              </a:graphicData>
            </a:graphic>
          </wp:inline>
        </w:drawing>
      </w:r>
    </w:p>
    <w:p w14:paraId="688D0443">
      <w:pPr>
        <w:pageBreakBefore w:val="0"/>
        <w:kinsoku/>
        <w:wordWrap/>
        <w:overflowPunct/>
        <w:topLinePunct w:val="0"/>
        <w:autoSpaceDE/>
        <w:autoSpaceDN/>
        <w:bidi w:val="0"/>
        <w:adjustRightInd/>
        <w:snapToGrid/>
        <w:spacing w:before="157" w:beforeLines="50" w:after="157"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5.提交申报</w:t>
      </w:r>
    </w:p>
    <w:p w14:paraId="34204583">
      <w:pPr>
        <w:pageBreakBefore w:val="0"/>
        <w:kinsoku/>
        <w:wordWrap/>
        <w:overflowPunct/>
        <w:topLinePunct w:val="0"/>
        <w:autoSpaceDE/>
        <w:autoSpaceDN/>
        <w:bidi w:val="0"/>
        <w:adjustRightInd/>
        <w:snapToGrid/>
        <w:spacing w:before="157" w:beforeLines="50" w:after="157"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①当纳税人填报完成后，点击【提交申报】按钮，系统提示是否需要进行风险提示服务。如下图：</w:t>
      </w:r>
    </w:p>
    <w:p w14:paraId="455EDB0C">
      <w:pPr>
        <w:pStyle w:val="14"/>
        <w:pageBreakBefore w:val="0"/>
        <w:kinsoku/>
        <w:wordWrap/>
        <w:overflowPunct/>
        <w:topLinePunct w:val="0"/>
        <w:autoSpaceDE/>
        <w:autoSpaceDN/>
        <w:bidi w:val="0"/>
        <w:adjustRightInd/>
        <w:snapToGrid/>
        <w:spacing w:before="157" w:beforeLines="50" w:after="157" w:afterLines="50" w:line="360" w:lineRule="auto"/>
        <w:ind w:firstLine="0" w:firstLineChars="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4150" cy="2331085"/>
            <wp:effectExtent l="0" t="0" r="12700" b="12065"/>
            <wp:docPr id="27" name="图片 27" descr="171152499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711524990067"/>
                    <pic:cNvPicPr>
                      <a:picLocks noChangeAspect="1"/>
                    </pic:cNvPicPr>
                  </pic:nvPicPr>
                  <pic:blipFill>
                    <a:blip r:embed="rId13" cstate="print"/>
                    <a:stretch>
                      <a:fillRect/>
                    </a:stretch>
                  </pic:blipFill>
                  <pic:spPr>
                    <a:xfrm>
                      <a:off x="0" y="0"/>
                      <a:ext cx="5264150" cy="2331085"/>
                    </a:xfrm>
                    <a:prstGeom prst="rect">
                      <a:avLst/>
                    </a:prstGeom>
                  </pic:spPr>
                </pic:pic>
              </a:graphicData>
            </a:graphic>
          </wp:inline>
        </w:drawing>
      </w:r>
    </w:p>
    <w:p w14:paraId="2074CA6F">
      <w:pPr>
        <w:pageBreakBefore w:val="0"/>
        <w:kinsoku/>
        <w:wordWrap/>
        <w:overflowPunct/>
        <w:topLinePunct w:val="0"/>
        <w:autoSpaceDE/>
        <w:autoSpaceDN/>
        <w:bidi w:val="0"/>
        <w:adjustRightInd/>
        <w:snapToGrid/>
        <w:spacing w:before="157" w:beforeLines="50" w:after="157"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②纳税人可点击【风险提示服务】按钮进行风险扫描，系统反馈风险扫描结果，纳税人可点击【修改表单】对报表进行修改，也可点击【继续申报】按钮提交申报。如下图：</w:t>
      </w:r>
      <w:r>
        <w:rPr>
          <w:rFonts w:hint="eastAsia" w:ascii="宋体" w:hAnsi="宋体" w:eastAsia="宋体" w:cs="宋体"/>
          <w:sz w:val="24"/>
          <w:szCs w:val="24"/>
        </w:rPr>
        <w:drawing>
          <wp:inline distT="0" distB="0" distL="114300" distR="114300">
            <wp:extent cx="5266055" cy="2308860"/>
            <wp:effectExtent l="19050" t="0" r="0" b="0"/>
            <wp:docPr id="26" name="图片 26" descr="1711524929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11524929902"/>
                    <pic:cNvPicPr>
                      <a:picLocks noChangeAspect="1"/>
                    </pic:cNvPicPr>
                  </pic:nvPicPr>
                  <pic:blipFill>
                    <a:blip r:embed="rId14" cstate="print"/>
                    <a:stretch>
                      <a:fillRect/>
                    </a:stretch>
                  </pic:blipFill>
                  <pic:spPr>
                    <a:xfrm>
                      <a:off x="0" y="0"/>
                      <a:ext cx="5266055" cy="2308860"/>
                    </a:xfrm>
                    <a:prstGeom prst="rect">
                      <a:avLst/>
                    </a:prstGeom>
                  </pic:spPr>
                </pic:pic>
              </a:graphicData>
            </a:graphic>
          </wp:inline>
        </w:drawing>
      </w:r>
    </w:p>
    <w:p w14:paraId="274ACC5A">
      <w:pPr>
        <w:pStyle w:val="14"/>
        <w:pageBreakBefore w:val="0"/>
        <w:kinsoku/>
        <w:wordWrap/>
        <w:overflowPunct/>
        <w:topLinePunct w:val="0"/>
        <w:autoSpaceDE/>
        <w:autoSpaceDN/>
        <w:bidi w:val="0"/>
        <w:adjustRightInd/>
        <w:snapToGrid/>
        <w:spacing w:before="157" w:beforeLines="50" w:after="157" w:afterLines="50" w:line="360" w:lineRule="auto"/>
        <w:ind w:firstLine="640"/>
        <w:rPr>
          <w:rFonts w:hint="eastAsia" w:ascii="宋体" w:hAnsi="宋体" w:eastAsia="宋体" w:cs="宋体"/>
          <w:sz w:val="24"/>
          <w:szCs w:val="24"/>
        </w:rPr>
      </w:pPr>
      <w:r>
        <w:rPr>
          <w:rFonts w:hint="eastAsia" w:ascii="宋体" w:hAnsi="宋体" w:eastAsia="宋体" w:cs="宋体"/>
          <w:kern w:val="2"/>
          <w:sz w:val="24"/>
          <w:szCs w:val="24"/>
        </w:rPr>
        <w:t>建议：为减少您的涉税风险，请您接受“风险提示服务”。请认真核实风险提示信息，如确属风险，请您参照提示信息修改申报内容。</w:t>
      </w:r>
    </w:p>
    <w:p w14:paraId="0BA8726D">
      <w:pPr>
        <w:pageBreakBefore w:val="0"/>
        <w:kinsoku/>
        <w:wordWrap/>
        <w:overflowPunct/>
        <w:topLinePunct w:val="0"/>
        <w:autoSpaceDE/>
        <w:autoSpaceDN/>
        <w:bidi w:val="0"/>
        <w:adjustRightInd/>
        <w:snapToGrid/>
        <w:spacing w:before="157" w:beforeLines="50" w:after="157"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③完成申报前纳税人需对填报的信息进行确认。如下图：</w:t>
      </w:r>
      <w:r>
        <w:rPr>
          <w:rFonts w:hint="eastAsia" w:ascii="宋体" w:hAnsi="宋体" w:eastAsia="宋体" w:cs="宋体"/>
          <w:sz w:val="24"/>
          <w:szCs w:val="24"/>
        </w:rPr>
        <w:drawing>
          <wp:inline distT="0" distB="0" distL="114300" distR="114300">
            <wp:extent cx="5277485" cy="2820035"/>
            <wp:effectExtent l="0" t="0" r="5715" b="12065"/>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pic:cNvPicPr>
                      <a:picLocks noChangeAspect="1"/>
                    </pic:cNvPicPr>
                  </pic:nvPicPr>
                  <pic:blipFill>
                    <a:blip r:embed="rId15" cstate="print"/>
                    <a:stretch>
                      <a:fillRect/>
                    </a:stretch>
                  </pic:blipFill>
                  <pic:spPr>
                    <a:xfrm>
                      <a:off x="0" y="0"/>
                      <a:ext cx="5277485" cy="2820035"/>
                    </a:xfrm>
                    <a:prstGeom prst="rect">
                      <a:avLst/>
                    </a:prstGeom>
                    <a:noFill/>
                    <a:ln>
                      <a:noFill/>
                    </a:ln>
                  </pic:spPr>
                </pic:pic>
              </a:graphicData>
            </a:graphic>
          </wp:inline>
        </w:drawing>
      </w:r>
    </w:p>
    <w:p w14:paraId="3BEBDF4A">
      <w:pPr>
        <w:pageBreakBefore w:val="0"/>
        <w:kinsoku/>
        <w:wordWrap/>
        <w:overflowPunct/>
        <w:topLinePunct w:val="0"/>
        <w:autoSpaceDE/>
        <w:autoSpaceDN/>
        <w:bidi w:val="0"/>
        <w:adjustRightInd/>
        <w:snapToGrid/>
        <w:spacing w:before="157" w:beforeLines="50" w:after="157"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④填写确认完成后，点击【确定】按钮提交申报表，纳税人申报成功后，可以通过点击【立即缴款】立即进行税款缴纳，完成本次申报涉及的税费款缴纳。</w:t>
      </w:r>
      <w:r>
        <w:rPr>
          <w:rFonts w:hint="eastAsia" w:ascii="宋体" w:hAnsi="宋体" w:eastAsia="宋体" w:cs="宋体"/>
          <w:sz w:val="24"/>
          <w:szCs w:val="24"/>
        </w:rPr>
        <w:drawing>
          <wp:inline distT="0" distB="0" distL="114300" distR="114300">
            <wp:extent cx="5273675" cy="2312670"/>
            <wp:effectExtent l="0" t="0" r="9525" b="11430"/>
            <wp:docPr id="28" name="图片 28" descr="171152527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11525278891"/>
                    <pic:cNvPicPr>
                      <a:picLocks noChangeAspect="1"/>
                    </pic:cNvPicPr>
                  </pic:nvPicPr>
                  <pic:blipFill>
                    <a:blip r:embed="rId16" cstate="print"/>
                    <a:stretch>
                      <a:fillRect/>
                    </a:stretch>
                  </pic:blipFill>
                  <pic:spPr>
                    <a:xfrm>
                      <a:off x="0" y="0"/>
                      <a:ext cx="5273675" cy="2312670"/>
                    </a:xfrm>
                    <a:prstGeom prst="rect">
                      <a:avLst/>
                    </a:prstGeom>
                  </pic:spPr>
                </pic:pic>
              </a:graphicData>
            </a:graphic>
          </wp:inline>
        </w:drawing>
      </w:r>
    </w:p>
    <w:p w14:paraId="567259EA">
      <w:pPr>
        <w:pStyle w:val="3"/>
        <w:pageBreakBefore w:val="0"/>
        <w:kinsoku/>
        <w:wordWrap/>
        <w:overflowPunct/>
        <w:topLinePunct w:val="0"/>
        <w:autoSpaceDE/>
        <w:autoSpaceDN/>
        <w:bidi w:val="0"/>
        <w:adjustRightInd/>
        <w:snapToGrid/>
        <w:spacing w:before="157" w:beforeLines="50" w:after="157" w:afterLines="50" w:line="360" w:lineRule="auto"/>
        <w:rPr>
          <w:rFonts w:hint="eastAsia" w:ascii="宋体" w:hAnsi="宋体" w:eastAsia="宋体" w:cs="宋体"/>
          <w:b/>
          <w:sz w:val="24"/>
          <w:szCs w:val="24"/>
        </w:rPr>
      </w:pPr>
      <w:r>
        <w:rPr>
          <w:rFonts w:hint="eastAsia" w:ascii="宋体" w:hAnsi="宋体" w:eastAsia="宋体" w:cs="宋体"/>
          <w:b/>
          <w:sz w:val="24"/>
          <w:szCs w:val="24"/>
          <w:lang w:val="en-US" w:eastAsia="zh-CN"/>
        </w:rPr>
        <w:t>五、</w:t>
      </w:r>
      <w:r>
        <w:rPr>
          <w:rFonts w:hint="eastAsia" w:ascii="宋体" w:hAnsi="宋体" w:eastAsia="宋体" w:cs="宋体"/>
          <w:b/>
          <w:sz w:val="24"/>
          <w:szCs w:val="24"/>
        </w:rPr>
        <w:t>报送资料</w:t>
      </w:r>
    </w:p>
    <w:p w14:paraId="376C22BA">
      <w:pPr>
        <w:pageBreakBefore w:val="0"/>
        <w:kinsoku/>
        <w:wordWrap/>
        <w:overflowPunct/>
        <w:topLinePunct w:val="0"/>
        <w:autoSpaceDE/>
        <w:autoSpaceDN/>
        <w:bidi w:val="0"/>
        <w:adjustRightInd/>
        <w:snapToGrid/>
        <w:spacing w:before="157" w:beforeLines="50" w:after="157"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居民企业（核定征收）企业所得税年度申报资料清单</w:t>
      </w:r>
    </w:p>
    <w:tbl>
      <w:tblPr>
        <w:tblStyle w:val="11"/>
        <w:tblW w:w="869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04"/>
        <w:gridCol w:w="3300"/>
        <w:gridCol w:w="595"/>
        <w:gridCol w:w="597"/>
        <w:gridCol w:w="597"/>
        <w:gridCol w:w="597"/>
        <w:gridCol w:w="597"/>
        <w:gridCol w:w="599"/>
        <w:gridCol w:w="656"/>
        <w:gridCol w:w="649"/>
      </w:tblGrid>
      <w:tr w14:paraId="7EF1CF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504" w:type="dxa"/>
            <w:shd w:val="clear" w:color="auto" w:fill="CFCECE"/>
            <w:vAlign w:val="center"/>
          </w:tcPr>
          <w:p w14:paraId="169264C8">
            <w:pPr>
              <w:pageBreakBefore w:val="0"/>
              <w:kinsoku/>
              <w:wordWrap/>
              <w:overflowPunct/>
              <w:topLinePunct w:val="0"/>
              <w:autoSpaceDE/>
              <w:autoSpaceDN/>
              <w:bidi w:val="0"/>
              <w:adjustRightInd/>
              <w:snapToGrid/>
              <w:spacing w:before="157" w:beforeLines="50" w:after="157" w:afterLines="50" w:line="360" w:lineRule="auto"/>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序号</w:t>
            </w:r>
          </w:p>
        </w:tc>
        <w:tc>
          <w:tcPr>
            <w:tcW w:w="3300" w:type="dxa"/>
            <w:shd w:val="clear" w:color="auto" w:fill="CFCECE"/>
            <w:vAlign w:val="center"/>
          </w:tcPr>
          <w:p w14:paraId="5376E85E">
            <w:pPr>
              <w:pageBreakBefore w:val="0"/>
              <w:kinsoku/>
              <w:wordWrap/>
              <w:overflowPunct/>
              <w:topLinePunct w:val="0"/>
              <w:autoSpaceDE/>
              <w:autoSpaceDN/>
              <w:bidi w:val="0"/>
              <w:adjustRightInd/>
              <w:snapToGrid/>
              <w:spacing w:before="157" w:beforeLines="50" w:after="157" w:afterLines="50" w:line="360" w:lineRule="auto"/>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报送资料名称</w:t>
            </w:r>
          </w:p>
        </w:tc>
        <w:tc>
          <w:tcPr>
            <w:tcW w:w="595" w:type="dxa"/>
            <w:shd w:val="clear" w:color="auto" w:fill="CFCECE"/>
            <w:vAlign w:val="center"/>
          </w:tcPr>
          <w:p w14:paraId="197B2B22">
            <w:pPr>
              <w:pageBreakBefore w:val="0"/>
              <w:kinsoku/>
              <w:wordWrap/>
              <w:overflowPunct/>
              <w:topLinePunct w:val="0"/>
              <w:autoSpaceDE/>
              <w:autoSpaceDN/>
              <w:bidi w:val="0"/>
              <w:adjustRightInd/>
              <w:snapToGrid/>
              <w:spacing w:before="157" w:beforeLines="50" w:after="157" w:afterLines="50" w:line="360" w:lineRule="auto"/>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必报</w:t>
            </w:r>
          </w:p>
        </w:tc>
        <w:tc>
          <w:tcPr>
            <w:tcW w:w="597" w:type="dxa"/>
            <w:shd w:val="clear" w:color="auto" w:fill="CFCECE"/>
            <w:vAlign w:val="center"/>
          </w:tcPr>
          <w:p w14:paraId="29829FEB">
            <w:pPr>
              <w:pageBreakBefore w:val="0"/>
              <w:kinsoku/>
              <w:wordWrap/>
              <w:overflowPunct/>
              <w:topLinePunct w:val="0"/>
              <w:autoSpaceDE/>
              <w:autoSpaceDN/>
              <w:bidi w:val="0"/>
              <w:adjustRightInd/>
              <w:snapToGrid/>
              <w:spacing w:before="157" w:beforeLines="50" w:after="157" w:afterLines="50" w:line="360" w:lineRule="auto"/>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条件报送</w:t>
            </w:r>
          </w:p>
        </w:tc>
        <w:tc>
          <w:tcPr>
            <w:tcW w:w="597" w:type="dxa"/>
            <w:shd w:val="clear" w:color="auto" w:fill="CFCECE"/>
            <w:vAlign w:val="center"/>
          </w:tcPr>
          <w:p w14:paraId="5178CB35">
            <w:pPr>
              <w:pageBreakBefore w:val="0"/>
              <w:kinsoku/>
              <w:wordWrap/>
              <w:overflowPunct/>
              <w:topLinePunct w:val="0"/>
              <w:autoSpaceDE/>
              <w:autoSpaceDN/>
              <w:bidi w:val="0"/>
              <w:adjustRightInd/>
              <w:snapToGrid/>
              <w:spacing w:before="157" w:beforeLines="50" w:after="157" w:afterLines="50" w:line="360" w:lineRule="auto"/>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归档</w:t>
            </w:r>
          </w:p>
        </w:tc>
        <w:tc>
          <w:tcPr>
            <w:tcW w:w="597" w:type="dxa"/>
            <w:shd w:val="clear" w:color="auto" w:fill="CFCECE"/>
            <w:vAlign w:val="center"/>
          </w:tcPr>
          <w:p w14:paraId="602AF375">
            <w:pPr>
              <w:pageBreakBefore w:val="0"/>
              <w:kinsoku/>
              <w:wordWrap/>
              <w:overflowPunct/>
              <w:topLinePunct w:val="0"/>
              <w:autoSpaceDE/>
              <w:autoSpaceDN/>
              <w:bidi w:val="0"/>
              <w:adjustRightInd/>
              <w:snapToGrid/>
              <w:spacing w:before="157" w:beforeLines="50" w:after="157" w:afterLines="50" w:line="360" w:lineRule="auto"/>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查验</w:t>
            </w:r>
          </w:p>
        </w:tc>
        <w:tc>
          <w:tcPr>
            <w:tcW w:w="597" w:type="dxa"/>
            <w:shd w:val="clear" w:color="auto" w:fill="CFCECE"/>
            <w:vAlign w:val="center"/>
          </w:tcPr>
          <w:p w14:paraId="02149A7F">
            <w:pPr>
              <w:pageBreakBefore w:val="0"/>
              <w:kinsoku/>
              <w:wordWrap/>
              <w:overflowPunct/>
              <w:topLinePunct w:val="0"/>
              <w:autoSpaceDE/>
              <w:autoSpaceDN/>
              <w:bidi w:val="0"/>
              <w:adjustRightInd/>
              <w:snapToGrid/>
              <w:spacing w:before="157" w:beforeLines="50" w:after="157" w:afterLines="50" w:line="360" w:lineRule="auto"/>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代保管</w:t>
            </w:r>
          </w:p>
        </w:tc>
        <w:tc>
          <w:tcPr>
            <w:tcW w:w="599" w:type="dxa"/>
            <w:shd w:val="clear" w:color="auto" w:fill="CFCECE"/>
            <w:vAlign w:val="center"/>
          </w:tcPr>
          <w:p w14:paraId="12E8E5E6">
            <w:pPr>
              <w:pageBreakBefore w:val="0"/>
              <w:kinsoku/>
              <w:wordWrap/>
              <w:overflowPunct/>
              <w:topLinePunct w:val="0"/>
              <w:autoSpaceDE/>
              <w:autoSpaceDN/>
              <w:bidi w:val="0"/>
              <w:adjustRightInd/>
              <w:snapToGrid/>
              <w:spacing w:before="157" w:beforeLines="50" w:after="157" w:afterLines="50" w:line="360" w:lineRule="auto"/>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核销</w:t>
            </w:r>
          </w:p>
        </w:tc>
        <w:tc>
          <w:tcPr>
            <w:tcW w:w="656" w:type="dxa"/>
            <w:shd w:val="clear" w:color="auto" w:fill="CFCECE"/>
            <w:vAlign w:val="center"/>
          </w:tcPr>
          <w:p w14:paraId="018A1946">
            <w:pPr>
              <w:pageBreakBefore w:val="0"/>
              <w:kinsoku/>
              <w:wordWrap/>
              <w:overflowPunct/>
              <w:topLinePunct w:val="0"/>
              <w:autoSpaceDE/>
              <w:autoSpaceDN/>
              <w:bidi w:val="0"/>
              <w:adjustRightInd/>
              <w:snapToGrid/>
              <w:spacing w:before="157" w:beforeLines="50" w:after="157" w:afterLines="50" w:line="360" w:lineRule="auto"/>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容缺报送</w:t>
            </w:r>
          </w:p>
        </w:tc>
        <w:tc>
          <w:tcPr>
            <w:tcW w:w="649" w:type="dxa"/>
            <w:shd w:val="clear" w:color="auto" w:fill="CFCECE"/>
          </w:tcPr>
          <w:p w14:paraId="5FC5F21D">
            <w:pPr>
              <w:pageBreakBefore w:val="0"/>
              <w:kinsoku/>
              <w:wordWrap/>
              <w:overflowPunct/>
              <w:topLinePunct w:val="0"/>
              <w:autoSpaceDE/>
              <w:autoSpaceDN/>
              <w:bidi w:val="0"/>
              <w:adjustRightInd/>
              <w:snapToGrid/>
              <w:spacing w:before="157" w:beforeLines="50" w:after="157" w:afterLines="50" w:line="360" w:lineRule="auto"/>
              <w:jc w:val="center"/>
              <w:textAlignment w:val="center"/>
              <w:rPr>
                <w:rFonts w:hint="eastAsia" w:ascii="宋体" w:hAnsi="宋体" w:eastAsia="宋体" w:cs="宋体"/>
                <w:b/>
                <w:bCs/>
                <w:color w:val="000000"/>
                <w:sz w:val="24"/>
                <w:szCs w:val="24"/>
              </w:rPr>
            </w:pPr>
            <w:r>
              <w:rPr>
                <w:rFonts w:hint="eastAsia" w:ascii="宋体" w:hAnsi="宋体" w:eastAsia="宋体" w:cs="宋体"/>
                <w:b/>
                <w:kern w:val="0"/>
                <w:sz w:val="24"/>
                <w:szCs w:val="24"/>
              </w:rPr>
              <w:t>纳税人电子签名/印章</w:t>
            </w:r>
          </w:p>
        </w:tc>
      </w:tr>
      <w:tr w14:paraId="5E14B7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504" w:type="dxa"/>
            <w:vAlign w:val="center"/>
          </w:tcPr>
          <w:p w14:paraId="65E63055">
            <w:pPr>
              <w:pageBreakBefore w:val="0"/>
              <w:kinsoku/>
              <w:wordWrap/>
              <w:overflowPunct/>
              <w:topLinePunct w:val="0"/>
              <w:autoSpaceDE/>
              <w:autoSpaceDN/>
              <w:bidi w:val="0"/>
              <w:adjustRightInd/>
              <w:snapToGrid/>
              <w:spacing w:before="157" w:beforeLines="50" w:after="157" w:afterLines="50"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3300" w:type="dxa"/>
          </w:tcPr>
          <w:p w14:paraId="6E91B3E3">
            <w:pPr>
              <w:pageBreakBefore w:val="0"/>
              <w:kinsoku/>
              <w:wordWrap/>
              <w:overflowPunct/>
              <w:topLinePunct w:val="0"/>
              <w:autoSpaceDE/>
              <w:autoSpaceDN/>
              <w:bidi w:val="0"/>
              <w:adjustRightInd/>
              <w:snapToGrid/>
              <w:spacing w:before="157" w:beforeLines="50" w:after="157" w:afterLines="50" w:line="360" w:lineRule="auto"/>
              <w:jc w:val="left"/>
              <w:rPr>
                <w:rFonts w:hint="eastAsia" w:ascii="宋体" w:hAnsi="宋体" w:eastAsia="宋体" w:cs="宋体"/>
                <w:kern w:val="0"/>
                <w:sz w:val="24"/>
                <w:szCs w:val="24"/>
              </w:rPr>
            </w:pPr>
            <w:r>
              <w:rPr>
                <w:rFonts w:hint="eastAsia" w:ascii="宋体" w:hAnsi="宋体" w:eastAsia="宋体" w:cs="宋体"/>
                <w:color w:val="000000"/>
                <w:kern w:val="0"/>
                <w:sz w:val="24"/>
                <w:szCs w:val="24"/>
              </w:rPr>
              <w:t>《B100000中华人民共和国企业所得税月（季）度预缴和年度纳税申报表（B类，2018年版）》</w:t>
            </w:r>
          </w:p>
        </w:tc>
        <w:tc>
          <w:tcPr>
            <w:tcW w:w="595" w:type="dxa"/>
            <w:vAlign w:val="center"/>
          </w:tcPr>
          <w:p w14:paraId="0A8849F6">
            <w:pPr>
              <w:pageBreakBefore w:val="0"/>
              <w:kinsoku/>
              <w:wordWrap/>
              <w:overflowPunct/>
              <w:topLinePunct w:val="0"/>
              <w:autoSpaceDE/>
              <w:autoSpaceDN/>
              <w:bidi w:val="0"/>
              <w:adjustRightInd/>
              <w:snapToGrid/>
              <w:spacing w:before="157" w:beforeLines="50" w:after="157" w:afterLines="50"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w:t>
            </w:r>
          </w:p>
        </w:tc>
        <w:tc>
          <w:tcPr>
            <w:tcW w:w="597" w:type="dxa"/>
            <w:vAlign w:val="center"/>
          </w:tcPr>
          <w:p w14:paraId="7720255B">
            <w:pPr>
              <w:pageBreakBefore w:val="0"/>
              <w:kinsoku/>
              <w:wordWrap/>
              <w:overflowPunct/>
              <w:topLinePunct w:val="0"/>
              <w:autoSpaceDE/>
              <w:autoSpaceDN/>
              <w:bidi w:val="0"/>
              <w:adjustRightInd/>
              <w:snapToGrid/>
              <w:spacing w:before="157" w:beforeLines="50" w:after="157" w:afterLines="50" w:line="360" w:lineRule="auto"/>
              <w:jc w:val="center"/>
              <w:rPr>
                <w:rFonts w:hint="eastAsia" w:ascii="宋体" w:hAnsi="宋体" w:eastAsia="宋体" w:cs="宋体"/>
                <w:color w:val="000000"/>
                <w:sz w:val="24"/>
                <w:szCs w:val="24"/>
              </w:rPr>
            </w:pPr>
          </w:p>
        </w:tc>
        <w:tc>
          <w:tcPr>
            <w:tcW w:w="597" w:type="dxa"/>
            <w:vAlign w:val="center"/>
          </w:tcPr>
          <w:p w14:paraId="5BF8E352">
            <w:pPr>
              <w:pageBreakBefore w:val="0"/>
              <w:kinsoku/>
              <w:wordWrap/>
              <w:overflowPunct/>
              <w:topLinePunct w:val="0"/>
              <w:autoSpaceDE/>
              <w:autoSpaceDN/>
              <w:bidi w:val="0"/>
              <w:adjustRightInd/>
              <w:snapToGrid/>
              <w:spacing w:before="157" w:beforeLines="50" w:after="157" w:afterLines="50"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w:t>
            </w:r>
          </w:p>
        </w:tc>
        <w:tc>
          <w:tcPr>
            <w:tcW w:w="597" w:type="dxa"/>
            <w:vAlign w:val="center"/>
          </w:tcPr>
          <w:p w14:paraId="165A75C7">
            <w:pPr>
              <w:pageBreakBefore w:val="0"/>
              <w:kinsoku/>
              <w:wordWrap/>
              <w:overflowPunct/>
              <w:topLinePunct w:val="0"/>
              <w:autoSpaceDE/>
              <w:autoSpaceDN/>
              <w:bidi w:val="0"/>
              <w:adjustRightInd/>
              <w:snapToGrid/>
              <w:spacing w:before="157" w:beforeLines="50" w:after="157" w:afterLines="50" w:line="360" w:lineRule="auto"/>
              <w:jc w:val="center"/>
              <w:rPr>
                <w:rFonts w:hint="eastAsia" w:ascii="宋体" w:hAnsi="宋体" w:eastAsia="宋体" w:cs="宋体"/>
                <w:color w:val="000000"/>
                <w:sz w:val="24"/>
                <w:szCs w:val="24"/>
              </w:rPr>
            </w:pPr>
          </w:p>
        </w:tc>
        <w:tc>
          <w:tcPr>
            <w:tcW w:w="597" w:type="dxa"/>
            <w:vAlign w:val="center"/>
          </w:tcPr>
          <w:p w14:paraId="469AC7AF">
            <w:pPr>
              <w:pageBreakBefore w:val="0"/>
              <w:kinsoku/>
              <w:wordWrap/>
              <w:overflowPunct/>
              <w:topLinePunct w:val="0"/>
              <w:autoSpaceDE/>
              <w:autoSpaceDN/>
              <w:bidi w:val="0"/>
              <w:adjustRightInd/>
              <w:snapToGrid/>
              <w:spacing w:before="157" w:beforeLines="50" w:after="157" w:afterLines="50" w:line="360" w:lineRule="auto"/>
              <w:jc w:val="center"/>
              <w:rPr>
                <w:rFonts w:hint="eastAsia" w:ascii="宋体" w:hAnsi="宋体" w:eastAsia="宋体" w:cs="宋体"/>
                <w:color w:val="000000"/>
                <w:sz w:val="24"/>
                <w:szCs w:val="24"/>
              </w:rPr>
            </w:pPr>
          </w:p>
        </w:tc>
        <w:tc>
          <w:tcPr>
            <w:tcW w:w="599" w:type="dxa"/>
            <w:vAlign w:val="center"/>
          </w:tcPr>
          <w:p w14:paraId="046B0A58">
            <w:pPr>
              <w:pageBreakBefore w:val="0"/>
              <w:kinsoku/>
              <w:wordWrap/>
              <w:overflowPunct/>
              <w:topLinePunct w:val="0"/>
              <w:autoSpaceDE/>
              <w:autoSpaceDN/>
              <w:bidi w:val="0"/>
              <w:adjustRightInd/>
              <w:snapToGrid/>
              <w:spacing w:before="157" w:beforeLines="50" w:after="157" w:afterLines="50" w:line="360" w:lineRule="auto"/>
              <w:jc w:val="center"/>
              <w:rPr>
                <w:rFonts w:hint="eastAsia" w:ascii="宋体" w:hAnsi="宋体" w:eastAsia="宋体" w:cs="宋体"/>
                <w:color w:val="000000"/>
                <w:sz w:val="24"/>
                <w:szCs w:val="24"/>
              </w:rPr>
            </w:pPr>
          </w:p>
        </w:tc>
        <w:tc>
          <w:tcPr>
            <w:tcW w:w="656" w:type="dxa"/>
            <w:vAlign w:val="center"/>
          </w:tcPr>
          <w:p w14:paraId="5AE96BF2">
            <w:pPr>
              <w:pageBreakBefore w:val="0"/>
              <w:kinsoku/>
              <w:wordWrap/>
              <w:overflowPunct/>
              <w:topLinePunct w:val="0"/>
              <w:autoSpaceDE/>
              <w:autoSpaceDN/>
              <w:bidi w:val="0"/>
              <w:adjustRightInd/>
              <w:snapToGrid/>
              <w:spacing w:before="157" w:beforeLines="50" w:after="157" w:afterLines="50" w:line="360" w:lineRule="auto"/>
              <w:jc w:val="center"/>
              <w:rPr>
                <w:rFonts w:hint="eastAsia" w:ascii="宋体" w:hAnsi="宋体" w:eastAsia="宋体" w:cs="宋体"/>
                <w:color w:val="000000"/>
                <w:sz w:val="24"/>
                <w:szCs w:val="24"/>
              </w:rPr>
            </w:pPr>
          </w:p>
        </w:tc>
        <w:tc>
          <w:tcPr>
            <w:tcW w:w="649" w:type="dxa"/>
            <w:vAlign w:val="center"/>
          </w:tcPr>
          <w:p w14:paraId="1FF8E610">
            <w:pPr>
              <w:pageBreakBefore w:val="0"/>
              <w:kinsoku/>
              <w:wordWrap/>
              <w:overflowPunct/>
              <w:topLinePunct w:val="0"/>
              <w:autoSpaceDE/>
              <w:autoSpaceDN/>
              <w:bidi w:val="0"/>
              <w:adjustRightInd/>
              <w:snapToGrid/>
              <w:spacing w:before="157" w:beforeLines="50" w:after="157" w:afterLines="50" w:line="360" w:lineRule="auto"/>
              <w:jc w:val="center"/>
              <w:rPr>
                <w:rFonts w:hint="eastAsia" w:ascii="宋体" w:hAnsi="宋体" w:eastAsia="宋体" w:cs="宋体"/>
                <w:color w:val="000000"/>
                <w:sz w:val="24"/>
                <w:szCs w:val="24"/>
              </w:rPr>
            </w:pPr>
            <w:r>
              <w:rPr>
                <w:rFonts w:hint="eastAsia" w:ascii="宋体" w:hAnsi="宋体" w:eastAsia="宋体" w:cs="宋体"/>
                <w:sz w:val="24"/>
                <w:szCs w:val="24"/>
              </w:rPr>
              <w:t>√</w:t>
            </w:r>
          </w:p>
        </w:tc>
      </w:tr>
      <w:tr w14:paraId="76BCD3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504" w:type="dxa"/>
            <w:vAlign w:val="center"/>
          </w:tcPr>
          <w:p w14:paraId="2B8B519C">
            <w:pPr>
              <w:pageBreakBefore w:val="0"/>
              <w:kinsoku/>
              <w:wordWrap/>
              <w:overflowPunct/>
              <w:topLinePunct w:val="0"/>
              <w:autoSpaceDE/>
              <w:autoSpaceDN/>
              <w:bidi w:val="0"/>
              <w:adjustRightInd/>
              <w:snapToGrid/>
              <w:spacing w:before="157" w:beforeLines="50" w:after="157" w:afterLines="50"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3300" w:type="dxa"/>
            <w:vAlign w:val="center"/>
          </w:tcPr>
          <w:p w14:paraId="6ED18B79">
            <w:pPr>
              <w:pageBreakBefore w:val="0"/>
              <w:kinsoku/>
              <w:wordWrap/>
              <w:overflowPunct/>
              <w:topLinePunct w:val="0"/>
              <w:autoSpaceDE/>
              <w:autoSpaceDN/>
              <w:bidi w:val="0"/>
              <w:adjustRightInd/>
              <w:snapToGrid/>
              <w:spacing w:before="157" w:beforeLines="50" w:after="157" w:afterLines="50"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《居民企业参股外国企业信息报告表》</w:t>
            </w:r>
          </w:p>
        </w:tc>
        <w:tc>
          <w:tcPr>
            <w:tcW w:w="595" w:type="dxa"/>
            <w:vAlign w:val="center"/>
          </w:tcPr>
          <w:p w14:paraId="3B2645FE">
            <w:pPr>
              <w:pageBreakBefore w:val="0"/>
              <w:kinsoku/>
              <w:wordWrap/>
              <w:overflowPunct/>
              <w:topLinePunct w:val="0"/>
              <w:autoSpaceDE/>
              <w:autoSpaceDN/>
              <w:bidi w:val="0"/>
              <w:adjustRightInd/>
              <w:snapToGrid/>
              <w:spacing w:before="157" w:beforeLines="50" w:after="157" w:afterLines="50" w:line="360" w:lineRule="auto"/>
              <w:jc w:val="center"/>
              <w:rPr>
                <w:rFonts w:hint="eastAsia" w:ascii="宋体" w:hAnsi="宋体" w:eastAsia="宋体" w:cs="宋体"/>
                <w:color w:val="000000"/>
                <w:sz w:val="24"/>
                <w:szCs w:val="24"/>
              </w:rPr>
            </w:pPr>
          </w:p>
        </w:tc>
        <w:tc>
          <w:tcPr>
            <w:tcW w:w="597" w:type="dxa"/>
            <w:vAlign w:val="center"/>
          </w:tcPr>
          <w:p w14:paraId="35AA6555">
            <w:pPr>
              <w:pageBreakBefore w:val="0"/>
              <w:kinsoku/>
              <w:wordWrap/>
              <w:overflowPunct/>
              <w:topLinePunct w:val="0"/>
              <w:autoSpaceDE/>
              <w:autoSpaceDN/>
              <w:bidi w:val="0"/>
              <w:adjustRightInd/>
              <w:snapToGrid/>
              <w:spacing w:before="157" w:beforeLines="50" w:after="157" w:afterLines="50"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w:t>
            </w:r>
          </w:p>
        </w:tc>
        <w:tc>
          <w:tcPr>
            <w:tcW w:w="597" w:type="dxa"/>
            <w:vAlign w:val="center"/>
          </w:tcPr>
          <w:p w14:paraId="12ABA73C">
            <w:pPr>
              <w:pageBreakBefore w:val="0"/>
              <w:kinsoku/>
              <w:wordWrap/>
              <w:overflowPunct/>
              <w:topLinePunct w:val="0"/>
              <w:autoSpaceDE/>
              <w:autoSpaceDN/>
              <w:bidi w:val="0"/>
              <w:adjustRightInd/>
              <w:snapToGrid/>
              <w:spacing w:before="157" w:beforeLines="50" w:after="157" w:afterLines="50"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w:t>
            </w:r>
          </w:p>
        </w:tc>
        <w:tc>
          <w:tcPr>
            <w:tcW w:w="597" w:type="dxa"/>
            <w:vAlign w:val="center"/>
          </w:tcPr>
          <w:p w14:paraId="208C4F38">
            <w:pPr>
              <w:pageBreakBefore w:val="0"/>
              <w:kinsoku/>
              <w:wordWrap/>
              <w:overflowPunct/>
              <w:topLinePunct w:val="0"/>
              <w:autoSpaceDE/>
              <w:autoSpaceDN/>
              <w:bidi w:val="0"/>
              <w:adjustRightInd/>
              <w:snapToGrid/>
              <w:spacing w:before="157" w:beforeLines="50" w:after="157" w:afterLines="50" w:line="360" w:lineRule="auto"/>
              <w:jc w:val="center"/>
              <w:rPr>
                <w:rFonts w:hint="eastAsia" w:ascii="宋体" w:hAnsi="宋体" w:eastAsia="宋体" w:cs="宋体"/>
                <w:color w:val="000000"/>
                <w:sz w:val="24"/>
                <w:szCs w:val="24"/>
              </w:rPr>
            </w:pPr>
          </w:p>
        </w:tc>
        <w:tc>
          <w:tcPr>
            <w:tcW w:w="597" w:type="dxa"/>
            <w:vAlign w:val="center"/>
          </w:tcPr>
          <w:p w14:paraId="3D9894B3">
            <w:pPr>
              <w:pageBreakBefore w:val="0"/>
              <w:kinsoku/>
              <w:wordWrap/>
              <w:overflowPunct/>
              <w:topLinePunct w:val="0"/>
              <w:autoSpaceDE/>
              <w:autoSpaceDN/>
              <w:bidi w:val="0"/>
              <w:adjustRightInd/>
              <w:snapToGrid/>
              <w:spacing w:before="157" w:beforeLines="50" w:after="157" w:afterLines="50" w:line="360" w:lineRule="auto"/>
              <w:jc w:val="center"/>
              <w:rPr>
                <w:rFonts w:hint="eastAsia" w:ascii="宋体" w:hAnsi="宋体" w:eastAsia="宋体" w:cs="宋体"/>
                <w:color w:val="000000"/>
                <w:sz w:val="24"/>
                <w:szCs w:val="24"/>
              </w:rPr>
            </w:pPr>
          </w:p>
        </w:tc>
        <w:tc>
          <w:tcPr>
            <w:tcW w:w="599" w:type="dxa"/>
            <w:vAlign w:val="center"/>
          </w:tcPr>
          <w:p w14:paraId="0625E8E6">
            <w:pPr>
              <w:pageBreakBefore w:val="0"/>
              <w:kinsoku/>
              <w:wordWrap/>
              <w:overflowPunct/>
              <w:topLinePunct w:val="0"/>
              <w:autoSpaceDE/>
              <w:autoSpaceDN/>
              <w:bidi w:val="0"/>
              <w:adjustRightInd/>
              <w:snapToGrid/>
              <w:spacing w:before="157" w:beforeLines="50" w:after="157" w:afterLines="50" w:line="360" w:lineRule="auto"/>
              <w:jc w:val="center"/>
              <w:rPr>
                <w:rFonts w:hint="eastAsia" w:ascii="宋体" w:hAnsi="宋体" w:eastAsia="宋体" w:cs="宋体"/>
                <w:color w:val="000000"/>
                <w:sz w:val="24"/>
                <w:szCs w:val="24"/>
              </w:rPr>
            </w:pPr>
          </w:p>
        </w:tc>
        <w:tc>
          <w:tcPr>
            <w:tcW w:w="656" w:type="dxa"/>
            <w:vAlign w:val="center"/>
          </w:tcPr>
          <w:p w14:paraId="550BB8D2">
            <w:pPr>
              <w:pageBreakBefore w:val="0"/>
              <w:kinsoku/>
              <w:wordWrap/>
              <w:overflowPunct/>
              <w:topLinePunct w:val="0"/>
              <w:autoSpaceDE/>
              <w:autoSpaceDN/>
              <w:bidi w:val="0"/>
              <w:adjustRightInd/>
              <w:snapToGrid/>
              <w:spacing w:before="157" w:beforeLines="50" w:after="157" w:afterLines="50"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w:t>
            </w:r>
          </w:p>
        </w:tc>
        <w:tc>
          <w:tcPr>
            <w:tcW w:w="649" w:type="dxa"/>
            <w:vAlign w:val="center"/>
          </w:tcPr>
          <w:p w14:paraId="1FDFE415">
            <w:pPr>
              <w:pageBreakBefore w:val="0"/>
              <w:kinsoku/>
              <w:wordWrap/>
              <w:overflowPunct/>
              <w:topLinePunct w:val="0"/>
              <w:autoSpaceDE/>
              <w:autoSpaceDN/>
              <w:bidi w:val="0"/>
              <w:adjustRightInd/>
              <w:snapToGrid/>
              <w:spacing w:before="157" w:beforeLines="50" w:after="157" w:afterLines="50" w:line="360" w:lineRule="auto"/>
              <w:jc w:val="center"/>
              <w:rPr>
                <w:rFonts w:hint="eastAsia" w:ascii="宋体" w:hAnsi="宋体" w:eastAsia="宋体" w:cs="宋体"/>
                <w:color w:val="000000"/>
                <w:sz w:val="24"/>
                <w:szCs w:val="24"/>
              </w:rPr>
            </w:pPr>
            <w:r>
              <w:rPr>
                <w:rFonts w:hint="eastAsia" w:ascii="宋体" w:hAnsi="宋体" w:eastAsia="宋体" w:cs="宋体"/>
                <w:sz w:val="24"/>
                <w:szCs w:val="24"/>
              </w:rPr>
              <w:t>√</w:t>
            </w:r>
          </w:p>
        </w:tc>
      </w:tr>
    </w:tbl>
    <w:p w14:paraId="2A33DA23">
      <w:pPr>
        <w:pageBreakBefore w:val="0"/>
        <w:kinsoku/>
        <w:wordWrap/>
        <w:overflowPunct/>
        <w:topLinePunct w:val="0"/>
        <w:autoSpaceDE/>
        <w:autoSpaceDN/>
        <w:bidi w:val="0"/>
        <w:adjustRightInd/>
        <w:snapToGrid/>
        <w:spacing w:before="157" w:beforeLines="50" w:after="157" w:afterLines="50" w:line="360" w:lineRule="auto"/>
        <w:rPr>
          <w:rFonts w:hint="eastAsia" w:ascii="宋体" w:hAnsi="宋体" w:eastAsia="宋体" w:cs="宋体"/>
          <w:sz w:val="24"/>
          <w:szCs w:val="24"/>
        </w:rPr>
      </w:pPr>
    </w:p>
    <w:p w14:paraId="2C419720">
      <w:pPr>
        <w:pStyle w:val="3"/>
        <w:pageBreakBefore w:val="0"/>
        <w:kinsoku/>
        <w:wordWrap/>
        <w:overflowPunct/>
        <w:topLinePunct w:val="0"/>
        <w:autoSpaceDE/>
        <w:autoSpaceDN/>
        <w:bidi w:val="0"/>
        <w:adjustRightInd/>
        <w:snapToGrid/>
        <w:spacing w:before="157" w:beforeLines="50" w:after="157" w:afterLines="50" w:line="360" w:lineRule="auto"/>
        <w:rPr>
          <w:rFonts w:hint="eastAsia" w:ascii="宋体" w:hAnsi="宋体" w:eastAsia="宋体" w:cs="宋体"/>
          <w:b/>
          <w:sz w:val="24"/>
          <w:szCs w:val="24"/>
        </w:rPr>
      </w:pPr>
      <w:r>
        <w:rPr>
          <w:rFonts w:hint="eastAsia" w:ascii="宋体" w:hAnsi="宋体" w:eastAsia="宋体" w:cs="宋体"/>
          <w:b/>
          <w:sz w:val="24"/>
          <w:szCs w:val="24"/>
          <w:lang w:val="en-US" w:eastAsia="zh-CN"/>
        </w:rPr>
        <w:t>六</w:t>
      </w:r>
      <w:r>
        <w:rPr>
          <w:rFonts w:hint="eastAsia" w:ascii="宋体" w:hAnsi="宋体" w:eastAsia="宋体" w:cs="宋体"/>
          <w:b/>
          <w:sz w:val="24"/>
          <w:szCs w:val="24"/>
        </w:rPr>
        <w:t>、注意事项</w:t>
      </w:r>
    </w:p>
    <w:p w14:paraId="02988833">
      <w:pPr>
        <w:pageBreakBefore w:val="0"/>
        <w:kinsoku/>
        <w:wordWrap/>
        <w:overflowPunct/>
        <w:topLinePunct w:val="0"/>
        <w:autoSpaceDE/>
        <w:autoSpaceDN/>
        <w:bidi w:val="0"/>
        <w:adjustRightInd/>
        <w:snapToGrid/>
        <w:spacing w:before="157" w:beforeLines="50" w:after="157" w:after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纳税人对报送材料的真实性和合法性承担责任。</w:t>
      </w:r>
    </w:p>
    <w:p w14:paraId="7FAAE26E">
      <w:pPr>
        <w:pageBreakBefore w:val="0"/>
        <w:kinsoku/>
        <w:wordWrap/>
        <w:overflowPunct/>
        <w:topLinePunct w:val="0"/>
        <w:autoSpaceDE/>
        <w:autoSpaceDN/>
        <w:bidi w:val="0"/>
        <w:adjustRightInd/>
        <w:snapToGrid/>
        <w:spacing w:before="157" w:beforeLines="50" w:after="157" w:afterLines="50" w:line="360" w:lineRule="auto"/>
        <w:ind w:firstLine="640"/>
        <w:rPr>
          <w:rFonts w:hint="eastAsia" w:ascii="宋体" w:hAnsi="宋体" w:eastAsia="宋体" w:cs="宋体"/>
          <w:sz w:val="24"/>
          <w:szCs w:val="24"/>
        </w:rPr>
      </w:pPr>
    </w:p>
    <w:bookmarkEnd w:id="0"/>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ongti SC">
    <w:altName w:val="宋体"/>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468A6C"/>
    <w:multiLevelType w:val="singleLevel"/>
    <w:tmpl w:val="50468A6C"/>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NkNzI4ZWE2YWFkODA1YzI5MjcwMzNkMTY5ZGQ3NTcifQ=="/>
  </w:docVars>
  <w:rsids>
    <w:rsidRoot w:val="41FC5A56"/>
    <w:rsid w:val="00274719"/>
    <w:rsid w:val="00286788"/>
    <w:rsid w:val="00417C3D"/>
    <w:rsid w:val="005F24E3"/>
    <w:rsid w:val="00B7530E"/>
    <w:rsid w:val="088812EE"/>
    <w:rsid w:val="0CF93B88"/>
    <w:rsid w:val="1F1F761A"/>
    <w:rsid w:val="213312BA"/>
    <w:rsid w:val="228208D7"/>
    <w:rsid w:val="2AF76049"/>
    <w:rsid w:val="2D120067"/>
    <w:rsid w:val="2F5A3392"/>
    <w:rsid w:val="41FC5A56"/>
    <w:rsid w:val="5C302D7B"/>
    <w:rsid w:val="66ED408E"/>
    <w:rsid w:val="6C790A4B"/>
    <w:rsid w:val="71542245"/>
    <w:rsid w:val="74AC432F"/>
    <w:rsid w:val="7C9314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qFormat/>
    <w:uiPriority w:val="0"/>
    <w:pPr>
      <w:keepNext/>
      <w:keepLines/>
      <w:outlineLvl w:val="1"/>
    </w:pPr>
    <w:rPr>
      <w:rFonts w:ascii="Arial" w:hAnsi="Arial" w:eastAsia="黑体"/>
      <w:b/>
      <w:sz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TableOfAuthoring"/>
    <w:basedOn w:val="1"/>
    <w:next w:val="1"/>
    <w:qFormat/>
    <w:uiPriority w:val="0"/>
    <w:pPr>
      <w:ind w:left="420" w:leftChars="200"/>
    </w:pPr>
  </w:style>
  <w:style w:type="paragraph" w:styleId="5">
    <w:name w:val="annotation text"/>
    <w:basedOn w:val="1"/>
    <w:link w:val="21"/>
    <w:qFormat/>
    <w:uiPriority w:val="0"/>
    <w:pPr>
      <w:jc w:val="left"/>
    </w:pPr>
  </w:style>
  <w:style w:type="paragraph" w:styleId="6">
    <w:name w:val="Body Text"/>
    <w:basedOn w:val="1"/>
    <w:qFormat/>
    <w:uiPriority w:val="0"/>
    <w:pPr>
      <w:spacing w:after="120"/>
    </w:pPr>
    <w:rPr>
      <w:rFonts w:ascii="Times New Roman" w:hAnsi="Times New Roman" w:cs="Calibri"/>
      <w:szCs w:val="21"/>
    </w:rPr>
  </w:style>
  <w:style w:type="paragraph" w:styleId="7">
    <w:name w:val="Balloon Text"/>
    <w:basedOn w:val="1"/>
    <w:link w:val="20"/>
    <w:qFormat/>
    <w:uiPriority w:val="0"/>
    <w:rPr>
      <w:sz w:val="18"/>
      <w:szCs w:val="18"/>
    </w:rPr>
  </w:style>
  <w:style w:type="paragraph" w:styleId="8">
    <w:name w:val="footer"/>
    <w:basedOn w:val="1"/>
    <w:link w:val="24"/>
    <w:qFormat/>
    <w:uiPriority w:val="0"/>
    <w:pPr>
      <w:tabs>
        <w:tab w:val="center" w:pos="4153"/>
        <w:tab w:val="right" w:pos="8306"/>
      </w:tabs>
      <w:snapToGrid w:val="0"/>
      <w:jc w:val="left"/>
    </w:pPr>
    <w:rPr>
      <w:sz w:val="18"/>
      <w:szCs w:val="18"/>
    </w:rPr>
  </w:style>
  <w:style w:type="paragraph" w:styleId="9">
    <w:name w:val="header"/>
    <w:basedOn w:val="1"/>
    <w:link w:val="23"/>
    <w:qFormat/>
    <w:uiPriority w:val="0"/>
    <w:pPr>
      <w:pBdr>
        <w:bottom w:val="single" w:color="auto" w:sz="6" w:space="1"/>
      </w:pBdr>
      <w:tabs>
        <w:tab w:val="center" w:pos="4153"/>
        <w:tab w:val="right" w:pos="8306"/>
      </w:tabs>
      <w:snapToGrid w:val="0"/>
      <w:jc w:val="center"/>
    </w:pPr>
    <w:rPr>
      <w:sz w:val="18"/>
      <w:szCs w:val="18"/>
    </w:rPr>
  </w:style>
  <w:style w:type="paragraph" w:styleId="10">
    <w:name w:val="annotation subject"/>
    <w:basedOn w:val="5"/>
    <w:next w:val="5"/>
    <w:link w:val="22"/>
    <w:qFormat/>
    <w:uiPriority w:val="0"/>
    <w:rPr>
      <w:b/>
      <w:bCs/>
    </w:rPr>
  </w:style>
  <w:style w:type="character" w:styleId="13">
    <w:name w:val="annotation reference"/>
    <w:basedOn w:val="12"/>
    <w:qFormat/>
    <w:uiPriority w:val="0"/>
    <w:rPr>
      <w:sz w:val="21"/>
      <w:szCs w:val="21"/>
    </w:rPr>
  </w:style>
  <w:style w:type="paragraph" w:customStyle="1" w:styleId="14">
    <w:name w:val="Normal Indent1"/>
    <w:qFormat/>
    <w:uiPriority w:val="0"/>
    <w:pPr>
      <w:spacing w:line="360" w:lineRule="auto"/>
      <w:ind w:firstLine="883" w:firstLineChars="200"/>
    </w:pPr>
    <w:rPr>
      <w:rFonts w:ascii="Songti SC" w:hAnsi="Songti SC" w:eastAsia="宋体" w:cs="Songti SC"/>
      <w:sz w:val="24"/>
      <w:szCs w:val="24"/>
      <w:lang w:val="en-US" w:eastAsia="zh-CN" w:bidi="ar-SA"/>
    </w:rPr>
  </w:style>
  <w:style w:type="paragraph" w:customStyle="1" w:styleId="15">
    <w:name w:val="表格列标题"/>
    <w:basedOn w:val="16"/>
    <w:qFormat/>
    <w:uiPriority w:val="0"/>
    <w:pPr>
      <w:jc w:val="center"/>
    </w:pPr>
    <w:rPr>
      <w:rFonts w:ascii="Arial" w:hAnsi="Arial" w:cs="Arial"/>
      <w:b/>
      <w:sz w:val="18"/>
    </w:rPr>
  </w:style>
  <w:style w:type="paragraph" w:customStyle="1" w:styleId="16">
    <w:name w:val="正文1"/>
    <w:qFormat/>
    <w:uiPriority w:val="0"/>
    <w:pPr>
      <w:widowControl w:val="0"/>
      <w:jc w:val="both"/>
    </w:pPr>
    <w:rPr>
      <w:rFonts w:ascii="Calibri" w:hAnsi="Calibri" w:eastAsia="宋体" w:cs="Times New Roman"/>
      <w:lang w:val="en-US" w:eastAsia="zh-CN" w:bidi="ar-SA"/>
    </w:rPr>
  </w:style>
  <w:style w:type="character" w:customStyle="1" w:styleId="17">
    <w:name w:val="font01"/>
    <w:qFormat/>
    <w:uiPriority w:val="0"/>
    <w:rPr>
      <w:rFonts w:hint="eastAsia" w:ascii="宋体" w:hAnsi="宋体" w:eastAsia="宋体" w:cs="宋体"/>
      <w:color w:val="333333"/>
      <w:sz w:val="22"/>
      <w:szCs w:val="22"/>
      <w:u w:val="none"/>
    </w:rPr>
  </w:style>
  <w:style w:type="paragraph" w:customStyle="1" w:styleId="18">
    <w:name w:val="表格文字 左对齐"/>
    <w:basedOn w:val="19"/>
    <w:qFormat/>
    <w:uiPriority w:val="0"/>
    <w:rPr>
      <w:rFonts w:ascii="Arial" w:hAnsi="Arial" w:cs="Arial"/>
      <w:sz w:val="18"/>
    </w:rPr>
  </w:style>
  <w:style w:type="paragraph" w:customStyle="1" w:styleId="19">
    <w:name w:val="正文_1"/>
    <w:qFormat/>
    <w:uiPriority w:val="0"/>
    <w:rPr>
      <w:rFonts w:ascii="Times New Roman" w:hAnsi="Times New Roman" w:eastAsia="Times New Roman" w:cs="Times New Roman"/>
      <w:sz w:val="24"/>
      <w:szCs w:val="24"/>
      <w:lang w:val="en-US" w:eastAsia="zh-CN" w:bidi="ar-SA"/>
    </w:rPr>
  </w:style>
  <w:style w:type="character" w:customStyle="1" w:styleId="20">
    <w:name w:val="批注框文本 Char"/>
    <w:basedOn w:val="12"/>
    <w:link w:val="7"/>
    <w:qFormat/>
    <w:uiPriority w:val="0"/>
    <w:rPr>
      <w:rFonts w:ascii="Calibri" w:hAnsi="Calibri" w:eastAsia="宋体" w:cs="Times New Roman"/>
      <w:kern w:val="2"/>
      <w:sz w:val="18"/>
      <w:szCs w:val="18"/>
    </w:rPr>
  </w:style>
  <w:style w:type="character" w:customStyle="1" w:styleId="21">
    <w:name w:val="批注文字 Char"/>
    <w:basedOn w:val="12"/>
    <w:link w:val="5"/>
    <w:qFormat/>
    <w:uiPriority w:val="0"/>
    <w:rPr>
      <w:rFonts w:ascii="Calibri" w:hAnsi="Calibri" w:eastAsia="宋体" w:cs="Times New Roman"/>
      <w:kern w:val="2"/>
      <w:sz w:val="21"/>
      <w:szCs w:val="24"/>
    </w:rPr>
  </w:style>
  <w:style w:type="character" w:customStyle="1" w:styleId="22">
    <w:name w:val="批注主题 Char"/>
    <w:basedOn w:val="21"/>
    <w:link w:val="10"/>
    <w:qFormat/>
    <w:uiPriority w:val="0"/>
    <w:rPr>
      <w:b/>
      <w:bCs/>
    </w:rPr>
  </w:style>
  <w:style w:type="character" w:customStyle="1" w:styleId="23">
    <w:name w:val="页眉 Char"/>
    <w:basedOn w:val="12"/>
    <w:link w:val="9"/>
    <w:qFormat/>
    <w:uiPriority w:val="0"/>
    <w:rPr>
      <w:rFonts w:ascii="Calibri" w:hAnsi="Calibri" w:eastAsia="宋体" w:cs="Times New Roman"/>
      <w:kern w:val="2"/>
      <w:sz w:val="18"/>
      <w:szCs w:val="18"/>
    </w:rPr>
  </w:style>
  <w:style w:type="character" w:customStyle="1" w:styleId="24">
    <w:name w:val="页脚 Char"/>
    <w:basedOn w:val="12"/>
    <w:link w:val="8"/>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Pages>
  <Words>1564</Words>
  <Characters>1598</Characters>
  <Lines>21</Lines>
  <Paragraphs>6</Paragraphs>
  <TotalTime>14</TotalTime>
  <ScaleCrop>false</ScaleCrop>
  <LinksUpToDate>false</LinksUpToDate>
  <CharactersWithSpaces>1604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2024-06-14T08:07:00Z</dcterms:created>
  <dc:creator>WPS_1609766624</dc:creator>
  <cp:lastModifiedBy>默默</cp:lastModifiedBy>
  <dcterms:modified xsi:type="dcterms:W3CDTF">2025-07-08T06:55:16Z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397A04428E744F76A2314C9A95EFCE1C_13</vt:lpwstr>
  </property>
  <property fmtid="{D5CDD505-2E9C-101B-9397-08002B2CF9AE}" pid="4" name="KSOTemplateDocerSaveRecord">
    <vt:lpwstr>eyJoZGlkIjoiYWI0MTczMTlmZGQwMDlkNjE0Y2E2NDViNmNjNWY1ZmYiLCJ1c2VySWQiOiI3MzkzMzY4MTcifQ==</vt:lpwstr>
  </property>
</Properties>
</file>