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A22ED8F">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t>3.2.4  居民企业（核定征收）企业所得税月（季）度申报——1059</w:t>
      </w:r>
    </w:p>
    <w:p w14:paraId="41F4C16F">
      <w:pPr>
        <w:rPr>
          <w:rFonts w:hint="eastAsia"/>
        </w:rPr>
      </w:pPr>
    </w:p>
    <w:p w14:paraId="1F35BBC4">
      <w:pPr>
        <w:pStyle w:val="3"/>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bookmarkStart w:id="26" w:name="_GoBack"/>
      <w:r>
        <w:rPr>
          <w:rFonts w:hint="eastAsia" w:ascii="宋体" w:hAnsi="宋体" w:eastAsia="宋体" w:cs="宋体"/>
          <w:sz w:val="24"/>
          <w:szCs w:val="24"/>
        </w:rPr>
        <w:t>一、业务概述</w:t>
      </w:r>
    </w:p>
    <w:p w14:paraId="05643326">
      <w:pPr>
        <w:pStyle w:val="4"/>
        <w:keepLines w:val="0"/>
        <w:pageBreakBefore w:val="0"/>
        <w:kinsoku/>
        <w:wordWrap/>
        <w:overflowPunct/>
        <w:topLinePunct w:val="0"/>
        <w:autoSpaceDE/>
        <w:autoSpaceDN/>
        <w:bidi w:val="0"/>
        <w:adjustRightInd/>
        <w:snapToGrid/>
        <w:spacing w:before="157" w:beforeLines="50" w:after="157" w:afterLines="50" w:line="360" w:lineRule="auto"/>
        <w:ind w:left="210" w:leftChars="100" w:firstLine="480" w:firstLineChars="200"/>
        <w:textAlignment w:val="auto"/>
        <w:rPr>
          <w:rFonts w:hint="eastAsia" w:ascii="宋体" w:hAnsi="宋体" w:eastAsia="宋体" w:cs="宋体"/>
          <w:b w:val="0"/>
          <w:bCs/>
          <w:sz w:val="24"/>
          <w:szCs w:val="24"/>
        </w:rPr>
      </w:pPr>
      <w:r>
        <w:rPr>
          <w:rFonts w:hint="eastAsia" w:ascii="宋体" w:hAnsi="宋体" w:eastAsia="宋体" w:cs="宋体"/>
          <w:b w:val="0"/>
          <w:bCs/>
          <w:sz w:val="24"/>
          <w:szCs w:val="24"/>
        </w:rPr>
        <w:t>按照企业所得税核定征收办法缴纳企业所得税的居民企业依照税收法律、法规、规章及其他有关企业所得税的规定，在规定的纳税期限内向税务机关填报</w:t>
      </w:r>
      <w:r>
        <w:rPr>
          <w:rFonts w:hint="eastAsia" w:ascii="宋体" w:hAnsi="宋体" w:eastAsia="宋体" w:cs="宋体"/>
          <w:b w:val="0"/>
          <w:bCs/>
          <w:sz w:val="24"/>
          <w:szCs w:val="24"/>
          <w:highlight w:val="yellow"/>
        </w:rPr>
        <w:t>《中华人民共和国企业所得税月（季）度预缴和年度纳税申报表（B类）》</w:t>
      </w:r>
      <w:r>
        <w:rPr>
          <w:rFonts w:hint="eastAsia" w:ascii="宋体" w:hAnsi="宋体" w:eastAsia="宋体" w:cs="宋体"/>
          <w:b w:val="0"/>
          <w:bCs/>
          <w:sz w:val="24"/>
          <w:szCs w:val="24"/>
        </w:rPr>
        <w:t>及其他相关资料，向税务机关进行企业所得税月（季）度申报。</w:t>
      </w:r>
    </w:p>
    <w:p w14:paraId="6975D5B4">
      <w:pPr>
        <w:pStyle w:val="3"/>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rPr>
      </w:pPr>
      <w:r>
        <w:rPr>
          <w:rFonts w:hint="eastAsia" w:ascii="宋体" w:hAnsi="宋体" w:eastAsia="宋体" w:cs="宋体"/>
          <w:b/>
          <w:sz w:val="24"/>
          <w:szCs w:val="24"/>
        </w:rPr>
        <w:t>二、办理流程</w:t>
      </w:r>
    </w:p>
    <w:p w14:paraId="2E02419A">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1.纳税人通过应申报提示提醒信息申报链接进入或通过菜单进入“居民企业（核定征收）企业所得税月（季）度申报”模块；</w:t>
      </w:r>
    </w:p>
    <w:p w14:paraId="58EB6FD2">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2.纳税人进入填报表单界面并预填申报数据；</w:t>
      </w:r>
    </w:p>
    <w:p w14:paraId="4259E16B">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3.纳税人确认/修改申报表信息，点击“申报”按钮提交申报；</w:t>
      </w:r>
    </w:p>
    <w:p w14:paraId="567A3909">
      <w:pPr>
        <w:pStyle w:val="2"/>
        <w:pageBreakBefore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4.缴纳税款，办结流程。</w:t>
      </w:r>
    </w:p>
    <w:p w14:paraId="3E795B8E">
      <w:pPr>
        <w:pStyle w:val="3"/>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三、视频讲解</w:t>
      </w:r>
    </w:p>
    <w:p w14:paraId="039171F0">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网址：</w:t>
      </w:r>
    </w:p>
    <w:p w14:paraId="49CB3B25">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fldChar w:fldCharType="begin"/>
      </w:r>
      <w:r>
        <w:rPr>
          <w:rFonts w:hint="eastAsia" w:ascii="宋体" w:hAnsi="宋体" w:eastAsia="宋体" w:cs="宋体"/>
          <w:sz w:val="24"/>
          <w:szCs w:val="24"/>
          <w:lang w:eastAsia="zh-CN"/>
        </w:rPr>
        <w:instrText xml:space="preserve"> HYPERLINK "https://cdn.jiangsu.chinatax.gov.cn/etax/u/nsrxt/www/202404/231048147itt.mp4" </w:instrText>
      </w:r>
      <w:r>
        <w:rPr>
          <w:rFonts w:hint="eastAsia" w:ascii="宋体" w:hAnsi="宋体" w:eastAsia="宋体" w:cs="宋体"/>
          <w:sz w:val="24"/>
          <w:szCs w:val="24"/>
          <w:lang w:eastAsia="zh-CN"/>
        </w:rPr>
        <w:fldChar w:fldCharType="separate"/>
      </w:r>
      <w:r>
        <w:rPr>
          <w:rStyle w:val="10"/>
          <w:rFonts w:hint="eastAsia" w:ascii="宋体" w:hAnsi="宋体" w:eastAsia="宋体" w:cs="宋体"/>
          <w:sz w:val="24"/>
          <w:szCs w:val="24"/>
          <w:lang w:eastAsia="zh-CN"/>
        </w:rPr>
        <w:t>https://cdn.jiangsu.chinatax.gov.cn/etax/u/nsrxt/www/202404/231048147itt.mp4</w:t>
      </w:r>
      <w:r>
        <w:rPr>
          <w:rFonts w:hint="eastAsia" w:ascii="宋体" w:hAnsi="宋体" w:eastAsia="宋体" w:cs="宋体"/>
          <w:sz w:val="24"/>
          <w:szCs w:val="24"/>
          <w:lang w:eastAsia="zh-CN"/>
        </w:rPr>
        <w:fldChar w:fldCharType="end"/>
      </w:r>
    </w:p>
    <w:p w14:paraId="27E335A8">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p>
    <w:p w14:paraId="3A0FD684">
      <w:pPr>
        <w:pStyle w:val="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lang w:eastAsia="zh-CN"/>
        </w:rPr>
      </w:pPr>
    </w:p>
    <w:p w14:paraId="4D1A62B8">
      <w:pPr>
        <w:pStyle w:val="3"/>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四、功能路径</w:t>
      </w:r>
    </w:p>
    <w:p w14:paraId="6CDA1BD3">
      <w:pPr>
        <w:pageBreakBefore w:val="0"/>
        <w:numPr>
          <w:ilvl w:val="0"/>
          <w:numId w:val="0"/>
        </w:numPr>
        <w:kinsoku/>
        <w:wordWrap/>
        <w:overflowPunct/>
        <w:topLinePunct w:val="0"/>
        <w:autoSpaceDE/>
        <w:autoSpaceDN/>
        <w:bidi w:val="0"/>
        <w:adjustRightInd/>
        <w:snapToGrid/>
        <w:spacing w:before="157" w:beforeLines="50" w:after="157" w:afterLines="50" w:line="360" w:lineRule="auto"/>
        <w:ind w:left="210" w:leftChars="100" w:firstLine="480" w:firstLineChars="200"/>
        <w:textAlignment w:val="auto"/>
        <w:outlineLvl w:val="9"/>
        <w:rPr>
          <w:rFonts w:hint="eastAsia" w:ascii="宋体" w:hAnsi="宋体" w:eastAsia="宋体" w:cs="宋体"/>
          <w:b w:val="0"/>
          <w:bCs/>
          <w:sz w:val="24"/>
          <w:szCs w:val="24"/>
          <w:lang w:eastAsia="zh-CN"/>
        </w:rPr>
      </w:pPr>
      <w:r>
        <w:rPr>
          <w:rFonts w:hint="eastAsia" w:ascii="宋体" w:hAnsi="宋体" w:eastAsia="宋体" w:cs="宋体"/>
          <w:b w:val="0"/>
          <w:bCs/>
          <w:sz w:val="24"/>
          <w:szCs w:val="24"/>
          <w:lang w:val="en-US" w:eastAsia="zh-CN"/>
        </w:rPr>
        <w:t>1.</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我要办税</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税费申报及缴纳</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w:t>
      </w:r>
      <w:r>
        <w:rPr>
          <w:rFonts w:hint="eastAsia" w:ascii="宋体" w:hAnsi="宋体" w:eastAsia="宋体" w:cs="宋体"/>
          <w:b w:val="0"/>
          <w:bCs/>
          <w:sz w:val="24"/>
          <w:szCs w:val="24"/>
          <w:lang w:eastAsia="zh-CN"/>
        </w:rPr>
        <w:t>【</w:t>
      </w:r>
      <w:r>
        <w:rPr>
          <w:rFonts w:hint="eastAsia" w:ascii="宋体" w:hAnsi="宋体" w:eastAsia="宋体" w:cs="宋体"/>
          <w:b w:val="0"/>
          <w:bCs/>
          <w:sz w:val="24"/>
          <w:szCs w:val="24"/>
          <w:lang w:val="en-US" w:eastAsia="zh-CN"/>
        </w:rPr>
        <w:t>居民企业（核定征收）企业所得税月（季）度申报</w:t>
      </w:r>
      <w:r>
        <w:rPr>
          <w:rFonts w:hint="eastAsia" w:ascii="宋体" w:hAnsi="宋体" w:eastAsia="宋体" w:cs="宋体"/>
          <w:b w:val="0"/>
          <w:bCs/>
          <w:sz w:val="24"/>
          <w:szCs w:val="24"/>
          <w:lang w:eastAsia="zh-CN"/>
        </w:rPr>
        <w:t>】</w:t>
      </w:r>
    </w:p>
    <w:p w14:paraId="58D2EABA">
      <w:pPr>
        <w:pageBreakBefore w:val="0"/>
        <w:numPr>
          <w:ilvl w:val="0"/>
          <w:numId w:val="0"/>
        </w:numPr>
        <w:kinsoku/>
        <w:wordWrap/>
        <w:overflowPunct/>
        <w:topLinePunct w:val="0"/>
        <w:autoSpaceDE/>
        <w:autoSpaceDN/>
        <w:bidi w:val="0"/>
        <w:adjustRightInd/>
        <w:snapToGrid/>
        <w:spacing w:before="157" w:beforeLines="50" w:after="157" w:afterLines="50" w:line="360" w:lineRule="auto"/>
        <w:ind w:left="210" w:leftChars="100" w:firstLine="480" w:firstLineChars="200"/>
        <w:textAlignment w:val="auto"/>
        <w:outlineLvl w:val="9"/>
        <w:rPr>
          <w:rFonts w:hint="eastAsia" w:ascii="宋体" w:hAnsi="宋体" w:eastAsia="宋体" w:cs="宋体"/>
          <w:bCs/>
          <w:sz w:val="24"/>
          <w:szCs w:val="24"/>
          <w:shd w:val="clear" w:color="auto" w:fill="FFFFFF"/>
        </w:rPr>
      </w:pPr>
      <w:r>
        <w:rPr>
          <w:rFonts w:hint="eastAsia" w:ascii="宋体" w:hAnsi="宋体" w:eastAsia="宋体" w:cs="宋体"/>
          <w:b w:val="0"/>
          <w:bCs/>
          <w:i w:val="0"/>
          <w:iCs w:val="0"/>
          <w:caps w:val="0"/>
          <w:spacing w:val="0"/>
          <w:sz w:val="24"/>
          <w:szCs w:val="24"/>
          <w:shd w:val="clear" w:color="auto" w:fill="FFFFFF"/>
          <w:lang w:val="en-US" w:eastAsia="zh-CN"/>
        </w:rPr>
        <w:t>2.</w:t>
      </w:r>
      <w:r>
        <w:rPr>
          <w:rFonts w:hint="eastAsia" w:ascii="宋体" w:hAnsi="宋体" w:eastAsia="宋体" w:cs="宋体"/>
          <w:bCs/>
          <w:sz w:val="24"/>
          <w:szCs w:val="24"/>
          <w:shd w:val="clear" w:color="auto" w:fill="FFFFFF"/>
        </w:rPr>
        <w:t>本期应申报提醒进入办税功能</w:t>
      </w:r>
    </w:p>
    <w:p w14:paraId="64767756">
      <w:pPr>
        <w:pageBreakBefore w:val="0"/>
        <w:numPr>
          <w:ilvl w:val="0"/>
          <w:numId w:val="0"/>
        </w:numPr>
        <w:kinsoku/>
        <w:wordWrap/>
        <w:overflowPunct/>
        <w:topLinePunct w:val="0"/>
        <w:autoSpaceDE/>
        <w:autoSpaceDN/>
        <w:bidi w:val="0"/>
        <w:adjustRightInd/>
        <w:snapToGrid/>
        <w:spacing w:before="157" w:beforeLines="50" w:after="157" w:afterLines="50" w:line="360" w:lineRule="auto"/>
        <w:ind w:left="210" w:leftChars="100" w:firstLine="480" w:firstLineChars="200"/>
        <w:textAlignment w:val="auto"/>
        <w:outlineLvl w:val="9"/>
        <w:rPr>
          <w:rFonts w:hint="eastAsia" w:ascii="宋体" w:hAnsi="宋体" w:eastAsia="宋体" w:cs="宋体"/>
          <w:sz w:val="24"/>
          <w:szCs w:val="24"/>
          <w:lang w:val="en-US" w:eastAsia="zh-CN"/>
        </w:rPr>
      </w:pPr>
      <w:r>
        <w:rPr>
          <w:rFonts w:hint="eastAsia" w:ascii="宋体" w:hAnsi="宋体" w:eastAsia="宋体" w:cs="宋体"/>
          <w:bCs/>
          <w:sz w:val="24"/>
          <w:szCs w:val="24"/>
          <w:shd w:val="clear" w:color="auto" w:fill="FFFFFF"/>
          <w:lang w:val="en-US" w:eastAsia="zh-CN"/>
        </w:rPr>
        <w:t>3.搜索框直接搜索</w:t>
      </w:r>
      <w:r>
        <w:rPr>
          <w:rFonts w:hint="eastAsia" w:ascii="宋体" w:hAnsi="宋体" w:eastAsia="宋体" w:cs="宋体"/>
          <w:b w:val="0"/>
          <w:bCs/>
          <w:sz w:val="24"/>
          <w:szCs w:val="24"/>
          <w:lang w:val="en-US" w:eastAsia="zh-CN"/>
        </w:rPr>
        <w:t>居民企业（核定征收）企业所得税月（季）度申报</w:t>
      </w:r>
    </w:p>
    <w:p w14:paraId="19934476">
      <w:pPr>
        <w:pStyle w:val="3"/>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五、操作步骤</w:t>
      </w:r>
    </w:p>
    <w:p w14:paraId="6FD13A84">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温馨提示：建议纳税人在申报期内先报送财务报表，再申报同期企业所得税。</w:t>
      </w:r>
    </w:p>
    <w:p w14:paraId="3EFF5B94">
      <w:pPr>
        <w:keepNext w:val="0"/>
        <w:keepLines w:val="0"/>
        <w:pageBreakBefore w:val="0"/>
        <w:widowControl w:val="0"/>
        <w:numPr>
          <w:ilvl w:val="0"/>
          <w:numId w:val="1"/>
        </w:numPr>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登录新电子税局后，点击【我要办税】 -【税费申报及缴纳】- 【居民企业（核定征收）企业所得税月（季）度申报】功能菜单。</w:t>
      </w:r>
    </w:p>
    <w:p w14:paraId="4408694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675" cy="2155825"/>
            <wp:effectExtent l="0" t="0" r="3175" b="158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4" cstate="print"/>
                    <a:stretch>
                      <a:fillRect/>
                    </a:stretch>
                  </pic:blipFill>
                  <pic:spPr>
                    <a:xfrm>
                      <a:off x="0" y="0"/>
                      <a:ext cx="5273675" cy="2155825"/>
                    </a:xfrm>
                    <a:prstGeom prst="rect">
                      <a:avLst/>
                    </a:prstGeom>
                    <a:noFill/>
                    <a:ln>
                      <a:noFill/>
                    </a:ln>
                  </pic:spPr>
                </pic:pic>
              </a:graphicData>
            </a:graphic>
          </wp:inline>
        </w:drawing>
      </w:r>
    </w:p>
    <w:p w14:paraId="767662B9">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2.进入系统后，根据纳税人核定征收方式分为按核定应税所得率（能核算收入总额的）、核定应税所得率（能核算成本费用总额的）、核定应纳所得税额三种方式：</w:t>
      </w:r>
    </w:p>
    <w:p w14:paraId="0F457C2D">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1"/>
        <w:rPr>
          <w:rFonts w:hint="eastAsia" w:ascii="宋体" w:hAnsi="宋体" w:eastAsia="宋体" w:cs="宋体"/>
          <w:b/>
          <w:bCs/>
          <w:sz w:val="24"/>
          <w:szCs w:val="24"/>
          <w:highlight w:val="none"/>
        </w:rPr>
      </w:pPr>
      <w:r>
        <w:rPr>
          <w:rFonts w:hint="eastAsia" w:ascii="宋体" w:hAnsi="宋体" w:eastAsia="宋体" w:cs="宋体"/>
          <w:b w:val="0"/>
          <w:bCs w:val="0"/>
          <w:sz w:val="24"/>
          <w:szCs w:val="24"/>
          <w:highlight w:val="none"/>
          <w:lang w:val="en-US" w:eastAsia="zh-CN"/>
        </w:rPr>
        <w:t>1.1</w:t>
      </w:r>
      <w:r>
        <w:rPr>
          <w:rFonts w:hint="eastAsia" w:ascii="宋体" w:hAnsi="宋体" w:eastAsia="宋体" w:cs="宋体"/>
          <w:b w:val="0"/>
          <w:bCs w:val="0"/>
          <w:sz w:val="24"/>
          <w:szCs w:val="24"/>
          <w:highlight w:val="none"/>
        </w:rPr>
        <w:t>若纳税人为按核定应税所得率（能核算收入总额的）</w:t>
      </w:r>
    </w:p>
    <w:p w14:paraId="2A035DA7">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①纳税人需填报“收入总额”、“从业人数”、“资产总额”等信息</w:t>
      </w:r>
      <w:r>
        <w:rPr>
          <w:rFonts w:hint="eastAsia" w:ascii="宋体" w:hAnsi="宋体" w:eastAsia="宋体" w:cs="宋体"/>
          <w:sz w:val="24"/>
          <w:szCs w:val="24"/>
        </w:rPr>
        <w:t>。如下图：</w:t>
      </w:r>
    </w:p>
    <w:p w14:paraId="1D5E274D">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1135" cy="2341880"/>
            <wp:effectExtent l="0" t="0" r="5715"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5" cstate="print"/>
                    <a:stretch>
                      <a:fillRect/>
                    </a:stretch>
                  </pic:blipFill>
                  <pic:spPr>
                    <a:xfrm>
                      <a:off x="0" y="0"/>
                      <a:ext cx="5271135" cy="2341880"/>
                    </a:xfrm>
                    <a:prstGeom prst="rect">
                      <a:avLst/>
                    </a:prstGeom>
                    <a:noFill/>
                    <a:ln>
                      <a:noFill/>
                    </a:ln>
                  </pic:spPr>
                </pic:pic>
              </a:graphicData>
            </a:graphic>
          </wp:inline>
        </w:drawing>
      </w:r>
    </w:p>
    <w:p w14:paraId="1F03D4D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注意：若已申报当期财务报表利润表，“收入总额”行次自动带出财务报表利润表“营业收入+营业外收入”金额，允许纳税人手工更正。</w:t>
      </w:r>
    </w:p>
    <w:p w14:paraId="62FC494B">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highlight w:val="none"/>
        </w:rPr>
        <w:t>②如需填报不征税收入或免税收入事项，可点击其他不征税收入或免税收入项的【前往填写】按钮，系</w:t>
      </w:r>
      <w:r>
        <w:rPr>
          <w:rFonts w:hint="eastAsia" w:ascii="宋体" w:hAnsi="宋体" w:eastAsia="宋体" w:cs="宋体"/>
          <w:sz w:val="24"/>
          <w:szCs w:val="24"/>
        </w:rPr>
        <w:t>统弹出填写界面进行填报。如下图：</w:t>
      </w:r>
    </w:p>
    <w:p w14:paraId="501D8678">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2405" cy="2325370"/>
            <wp:effectExtent l="0" t="0" r="4445" b="177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6" cstate="print"/>
                    <a:stretch>
                      <a:fillRect/>
                    </a:stretch>
                  </pic:blipFill>
                  <pic:spPr>
                    <a:xfrm>
                      <a:off x="0" y="0"/>
                      <a:ext cx="5272405" cy="2325370"/>
                    </a:xfrm>
                    <a:prstGeom prst="rect">
                      <a:avLst/>
                    </a:prstGeom>
                    <a:noFill/>
                    <a:ln>
                      <a:noFill/>
                    </a:ln>
                  </pic:spPr>
                </pic:pic>
              </a:graphicData>
            </a:graphic>
          </wp:inline>
        </w:drawing>
      </w:r>
    </w:p>
    <w:p w14:paraId="5134AC82">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1"/>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1.2</w:t>
      </w:r>
      <w:r>
        <w:rPr>
          <w:rFonts w:hint="eastAsia" w:ascii="宋体" w:hAnsi="宋体" w:eastAsia="宋体" w:cs="宋体"/>
          <w:b w:val="0"/>
          <w:bCs w:val="0"/>
          <w:sz w:val="24"/>
          <w:szCs w:val="24"/>
          <w:highlight w:val="none"/>
        </w:rPr>
        <w:t>若纳税人为核定应税所得率（能核算成本费用总额的）</w:t>
      </w:r>
    </w:p>
    <w:p w14:paraId="434B5C2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纳税人需填报“成本费用总额”、“从业人数”、“资产总额”信息。如下图：</w:t>
      </w:r>
    </w:p>
    <w:p w14:paraId="5182245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210" w:leftChars="100" w:firstLine="0" w:firstLineChars="0"/>
        <w:jc w:val="both"/>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2405" cy="3623945"/>
            <wp:effectExtent l="0" t="0" r="10795" b="82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 cstate="print"/>
                    <a:stretch>
                      <a:fillRect/>
                    </a:stretch>
                  </pic:blipFill>
                  <pic:spPr>
                    <a:xfrm>
                      <a:off x="0" y="0"/>
                      <a:ext cx="5272405" cy="3623945"/>
                    </a:xfrm>
                    <a:prstGeom prst="rect">
                      <a:avLst/>
                    </a:prstGeom>
                    <a:noFill/>
                    <a:ln>
                      <a:noFill/>
                    </a:ln>
                  </pic:spPr>
                </pic:pic>
              </a:graphicData>
            </a:graphic>
          </wp:inline>
        </w:drawing>
      </w:r>
    </w:p>
    <w:p w14:paraId="3A594F4D">
      <w:pPr>
        <w:pStyle w:val="12"/>
        <w:keepNext w:val="0"/>
        <w:keepLines w:val="0"/>
        <w:pageBreakBefore w:val="0"/>
        <w:kinsoku/>
        <w:wordWrap/>
        <w:overflowPunct/>
        <w:topLinePunct w:val="0"/>
        <w:autoSpaceDE/>
        <w:autoSpaceDN/>
        <w:bidi w:val="0"/>
        <w:adjustRightInd/>
        <w:snapToGrid/>
        <w:spacing w:before="157" w:beforeLines="50" w:after="157" w:afterLines="50" w:line="360" w:lineRule="auto"/>
        <w:ind w:left="0" w:leftChars="0" w:firstLine="560"/>
        <w:textAlignment w:val="auto"/>
        <w:rPr>
          <w:rFonts w:hint="eastAsia" w:ascii="宋体" w:hAnsi="宋体" w:eastAsia="宋体" w:cs="宋体"/>
          <w:kern w:val="2"/>
          <w:sz w:val="24"/>
          <w:szCs w:val="24"/>
          <w:highlight w:val="none"/>
        </w:rPr>
      </w:pPr>
      <w:r>
        <w:rPr>
          <w:rFonts w:hint="eastAsia" w:ascii="宋体" w:hAnsi="宋体" w:eastAsia="宋体" w:cs="宋体"/>
          <w:kern w:val="2"/>
          <w:sz w:val="24"/>
          <w:szCs w:val="24"/>
          <w:highlight w:val="none"/>
        </w:rPr>
        <w:t>注意：若已申报当期财务报表利润表，成本费用总额行次自动带出财务报表利润表“营业成本+营业税金及附加+销售费用+管理费用(含研发费用）+财务费用”金额，允许纳税人手工更正。</w:t>
      </w:r>
    </w:p>
    <w:p w14:paraId="506B58FB">
      <w:pPr>
        <w:keepNext w:val="0"/>
        <w:keepLines w:val="0"/>
        <w:pageBreakBefore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outlineLvl w:val="1"/>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1.3</w:t>
      </w:r>
      <w:r>
        <w:rPr>
          <w:rFonts w:hint="eastAsia" w:ascii="宋体" w:hAnsi="宋体" w:eastAsia="宋体" w:cs="宋体"/>
          <w:b w:val="0"/>
          <w:bCs w:val="0"/>
          <w:sz w:val="24"/>
          <w:szCs w:val="24"/>
          <w:highlight w:val="none"/>
        </w:rPr>
        <w:t>若纳税人为核定应纳所得税额的</w:t>
      </w:r>
    </w:p>
    <w:p w14:paraId="7AD46C71">
      <w:pPr>
        <w:pStyle w:val="17"/>
        <w:keepNext w:val="0"/>
        <w:keepLines w:val="0"/>
        <w:pageBreakBefore w:val="0"/>
        <w:kinsoku/>
        <w:wordWrap/>
        <w:overflowPunct/>
        <w:topLinePunct w:val="0"/>
        <w:autoSpaceDE/>
        <w:autoSpaceDN/>
        <w:bidi w:val="0"/>
        <w:adjustRightInd/>
        <w:snapToGrid/>
        <w:spacing w:before="157" w:beforeLines="50" w:after="157" w:afterLines="50" w:line="360" w:lineRule="auto"/>
        <w:ind w:left="0" w:leftChars="0" w:firstLine="56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系统根据税务机关核定的应纳所得税额计算应补退税额，纳税人无需填写。年核定应纳所得税额、本期应补（退）税额自动带出，不可修改。如下图：</w:t>
      </w:r>
    </w:p>
    <w:p w14:paraId="1210ECEC">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0500" cy="2315845"/>
            <wp:effectExtent l="0" t="0" r="6350" b="825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 cstate="print"/>
                    <a:stretch>
                      <a:fillRect/>
                    </a:stretch>
                  </pic:blipFill>
                  <pic:spPr>
                    <a:xfrm>
                      <a:off x="0" y="0"/>
                      <a:ext cx="5270500" cy="2315845"/>
                    </a:xfrm>
                    <a:prstGeom prst="rect">
                      <a:avLst/>
                    </a:prstGeom>
                    <a:noFill/>
                    <a:ln>
                      <a:noFill/>
                    </a:ln>
                  </pic:spPr>
                </pic:pic>
              </a:graphicData>
            </a:graphic>
          </wp:inline>
        </w:drawing>
      </w:r>
    </w:p>
    <w:p w14:paraId="13CF9D57">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3.如需预览表单，可点击右下角【预览表单】按钮，系统显示表单预览界面。如下图：</w:t>
      </w:r>
    </w:p>
    <w:p w14:paraId="68662DA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sz w:val="24"/>
          <w:szCs w:val="24"/>
          <w:highlight w:val="none"/>
        </w:rPr>
        <w:drawing>
          <wp:inline distT="0" distB="0" distL="114300" distR="114300">
            <wp:extent cx="5266690" cy="2349500"/>
            <wp:effectExtent l="0" t="0" r="10160" b="1270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9" cstate="print"/>
                    <a:stretch>
                      <a:fillRect/>
                    </a:stretch>
                  </pic:blipFill>
                  <pic:spPr>
                    <a:xfrm>
                      <a:off x="0" y="0"/>
                      <a:ext cx="5266690" cy="2349500"/>
                    </a:xfrm>
                    <a:prstGeom prst="rect">
                      <a:avLst/>
                    </a:prstGeom>
                    <a:noFill/>
                    <a:ln>
                      <a:noFill/>
                    </a:ln>
                  </pic:spPr>
                </pic:pic>
              </a:graphicData>
            </a:graphic>
          </wp:inline>
        </w:drawing>
      </w:r>
    </w:p>
    <w:p w14:paraId="3035367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.提交申报</w:t>
      </w:r>
    </w:p>
    <w:p w14:paraId="5FAE7EB5">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①当纳税人填报完成后，点击【提交申报】按钮，系统提示是否需要进行风险提示服务。如下图：</w:t>
      </w:r>
    </w:p>
    <w:p w14:paraId="25084EBA">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71135" cy="2336165"/>
            <wp:effectExtent l="0" t="0" r="5715"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0" cstate="print"/>
                    <a:stretch>
                      <a:fillRect/>
                    </a:stretch>
                  </pic:blipFill>
                  <pic:spPr>
                    <a:xfrm>
                      <a:off x="0" y="0"/>
                      <a:ext cx="5271135" cy="2336165"/>
                    </a:xfrm>
                    <a:prstGeom prst="rect">
                      <a:avLst/>
                    </a:prstGeom>
                    <a:noFill/>
                    <a:ln>
                      <a:noFill/>
                    </a:ln>
                  </pic:spPr>
                </pic:pic>
              </a:graphicData>
            </a:graphic>
          </wp:inline>
        </w:drawing>
      </w:r>
    </w:p>
    <w:p w14:paraId="03EA2DEC">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②纳税人可点击【风险提示服务】按钮进行风险扫描，系统反馈风险扫描结果，纳税人可点击【修改表单】对报表进行修改，也可点击【继续申报】按钮提交申报。如下图：</w:t>
      </w:r>
    </w:p>
    <w:p w14:paraId="7C32174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7960" cy="2322195"/>
            <wp:effectExtent l="0" t="0" r="254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1" cstate="print"/>
                    <a:stretch>
                      <a:fillRect/>
                    </a:stretch>
                  </pic:blipFill>
                  <pic:spPr>
                    <a:xfrm>
                      <a:off x="0" y="0"/>
                      <a:ext cx="5267960" cy="2322195"/>
                    </a:xfrm>
                    <a:prstGeom prst="rect">
                      <a:avLst/>
                    </a:prstGeom>
                    <a:noFill/>
                    <a:ln>
                      <a:noFill/>
                    </a:ln>
                  </pic:spPr>
                </pic:pic>
              </a:graphicData>
            </a:graphic>
          </wp:inline>
        </w:drawing>
      </w:r>
    </w:p>
    <w:p w14:paraId="39D77DA2">
      <w:pPr>
        <w:pStyle w:val="12"/>
        <w:pageBreakBefore w:val="0"/>
        <w:kinsoku/>
        <w:wordWrap/>
        <w:overflowPunct/>
        <w:topLinePunct w:val="0"/>
        <w:autoSpaceDE/>
        <w:autoSpaceDN/>
        <w:bidi w:val="0"/>
        <w:adjustRightInd/>
        <w:snapToGrid/>
        <w:spacing w:before="157" w:beforeLines="50" w:after="157" w:afterLines="50" w:line="360" w:lineRule="auto"/>
        <w:ind w:firstLine="560"/>
        <w:textAlignment w:val="auto"/>
        <w:rPr>
          <w:rFonts w:hint="eastAsia" w:ascii="宋体" w:hAnsi="宋体" w:eastAsia="宋体" w:cs="宋体"/>
          <w:sz w:val="24"/>
          <w:szCs w:val="24"/>
          <w:highlight w:val="none"/>
        </w:rPr>
      </w:pPr>
      <w:r>
        <w:rPr>
          <w:rFonts w:hint="eastAsia" w:ascii="宋体" w:hAnsi="宋体" w:eastAsia="宋体" w:cs="宋体"/>
          <w:kern w:val="2"/>
          <w:sz w:val="24"/>
          <w:szCs w:val="24"/>
          <w:highlight w:val="none"/>
        </w:rPr>
        <w:t>建议：为减少您的涉税风险，请您接受“风险提示服务”。请认真核实风险提示信息，如确属风险，请您参照提示信息修改申报内容。</w:t>
      </w:r>
    </w:p>
    <w:p w14:paraId="46AACF33">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③纳税人确认申报信息后，在输入框依次输入“真”、“实”、“责”、“任”4个字，点击【确定】提交申报；也可点击【取消】再次确认申报信息。如下图：</w:t>
      </w:r>
    </w:p>
    <w:p w14:paraId="51A39453">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5420" cy="2340610"/>
            <wp:effectExtent l="0" t="0" r="11430" b="254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2" cstate="print"/>
                    <a:stretch>
                      <a:fillRect/>
                    </a:stretch>
                  </pic:blipFill>
                  <pic:spPr>
                    <a:xfrm>
                      <a:off x="0" y="0"/>
                      <a:ext cx="5265420" cy="2340610"/>
                    </a:xfrm>
                    <a:prstGeom prst="rect">
                      <a:avLst/>
                    </a:prstGeom>
                    <a:noFill/>
                    <a:ln>
                      <a:noFill/>
                    </a:ln>
                  </pic:spPr>
                </pic:pic>
              </a:graphicData>
            </a:graphic>
          </wp:inline>
        </w:drawing>
      </w:r>
    </w:p>
    <w:p w14:paraId="425A4D63">
      <w:pPr>
        <w:pageBreakBefore w:val="0"/>
        <w:kinsoku/>
        <w:wordWrap/>
        <w:overflowPunct/>
        <w:topLinePunct w:val="0"/>
        <w:autoSpaceDE/>
        <w:autoSpaceDN/>
        <w:bidi w:val="0"/>
        <w:adjustRightInd/>
        <w:snapToGrid/>
        <w:spacing w:before="157" w:beforeLines="50" w:after="157" w:afterLines="50" w:line="360" w:lineRule="auto"/>
        <w:ind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④纳税人申报成功后，可以通过点击【立即缴款】立即进行税款缴纳，完成本次申报涉及的税费款缴纳。</w:t>
      </w:r>
    </w:p>
    <w:p w14:paraId="3B809622">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0" w:firstLineChars="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drawing>
          <wp:inline distT="0" distB="0" distL="114300" distR="114300">
            <wp:extent cx="5265420" cy="2251710"/>
            <wp:effectExtent l="0" t="0" r="5080" b="889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13" cstate="print"/>
                    <a:stretch>
                      <a:fillRect/>
                    </a:stretch>
                  </pic:blipFill>
                  <pic:spPr>
                    <a:xfrm>
                      <a:off x="0" y="0"/>
                      <a:ext cx="5265420" cy="2251710"/>
                    </a:xfrm>
                    <a:prstGeom prst="rect">
                      <a:avLst/>
                    </a:prstGeom>
                    <a:noFill/>
                    <a:ln>
                      <a:noFill/>
                    </a:ln>
                  </pic:spPr>
                </pic:pic>
              </a:graphicData>
            </a:graphic>
          </wp:inline>
        </w:drawing>
      </w:r>
    </w:p>
    <w:p w14:paraId="050B00CF">
      <w:pPr>
        <w:pStyle w:val="3"/>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六、报送资料</w:t>
      </w:r>
    </w:p>
    <w:p w14:paraId="23F5C30C">
      <w:pPr>
        <w:pStyle w:val="18"/>
        <w:pageBreakBefore w:val="0"/>
        <w:kinsoku/>
        <w:wordWrap/>
        <w:overflowPunct/>
        <w:topLinePunct w:val="0"/>
        <w:autoSpaceDE/>
        <w:autoSpaceDN/>
        <w:bidi w:val="0"/>
        <w:adjustRightInd/>
        <w:snapToGrid/>
        <w:spacing w:before="157" w:beforeLines="50" w:after="157" w:afterLines="50" w:line="360" w:lineRule="auto"/>
        <w:ind w:firstLineChars="0"/>
        <w:jc w:val="center"/>
        <w:textAlignment w:val="auto"/>
        <w:outlineLvl w:val="1"/>
        <w:rPr>
          <w:rFonts w:hint="eastAsia" w:ascii="宋体" w:hAnsi="宋体" w:eastAsia="宋体" w:cs="宋体"/>
          <w:sz w:val="24"/>
          <w:szCs w:val="24"/>
          <w:highlight w:val="none"/>
        </w:rPr>
      </w:pPr>
      <w:bookmarkStart w:id="0" w:name="_Toc29724"/>
      <w:bookmarkStart w:id="1" w:name="_Toc8871"/>
      <w:bookmarkStart w:id="2" w:name="_Toc18034"/>
      <w:bookmarkStart w:id="3" w:name="_Toc32147"/>
      <w:bookmarkStart w:id="4" w:name="_Toc23880"/>
      <w:bookmarkStart w:id="5" w:name="_Toc29061"/>
      <w:bookmarkStart w:id="6" w:name="_Toc5990"/>
      <w:bookmarkStart w:id="7" w:name="_Toc10188"/>
      <w:bookmarkStart w:id="8" w:name="_Toc26531"/>
      <w:bookmarkStart w:id="9" w:name="_Toc23740"/>
      <w:bookmarkStart w:id="10" w:name="_Toc22378"/>
      <w:bookmarkStart w:id="11" w:name="_Toc13241"/>
      <w:bookmarkStart w:id="12" w:name="_Toc15615"/>
      <w:bookmarkStart w:id="13" w:name="_Toc16060"/>
      <w:r>
        <w:rPr>
          <w:rFonts w:hint="eastAsia" w:ascii="宋体" w:hAnsi="宋体" w:eastAsia="宋体" w:cs="宋体"/>
          <w:sz w:val="24"/>
          <w:szCs w:val="24"/>
          <w:highlight w:val="none"/>
        </w:rPr>
        <w:t>居民企业（核定征收）企业所得税月（季）度申报功能需报送资料清单</w:t>
      </w:r>
      <w:bookmarkEnd w:id="0"/>
      <w:bookmarkEnd w:id="1"/>
      <w:bookmarkEnd w:id="2"/>
      <w:bookmarkEnd w:id="3"/>
      <w:bookmarkEnd w:id="4"/>
      <w:bookmarkEnd w:id="5"/>
      <w:bookmarkEnd w:id="6"/>
      <w:bookmarkEnd w:id="7"/>
      <w:bookmarkEnd w:id="8"/>
      <w:bookmarkEnd w:id="9"/>
      <w:bookmarkEnd w:id="10"/>
      <w:bookmarkEnd w:id="11"/>
      <w:bookmarkEnd w:id="12"/>
      <w:bookmarkEnd w:id="13"/>
    </w:p>
    <w:tbl>
      <w:tblPr>
        <w:tblStyle w:val="8"/>
        <w:tblW w:w="488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457"/>
        <w:gridCol w:w="2707"/>
        <w:gridCol w:w="547"/>
        <w:gridCol w:w="547"/>
        <w:gridCol w:w="547"/>
        <w:gridCol w:w="547"/>
        <w:gridCol w:w="661"/>
        <w:gridCol w:w="545"/>
        <w:gridCol w:w="778"/>
        <w:gridCol w:w="981"/>
      </w:tblGrid>
      <w:tr w14:paraId="5A7EB5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133" w:hRule="atLeast"/>
          <w:tblHeader/>
          <w:jc w:val="center"/>
        </w:trPr>
        <w:tc>
          <w:tcPr>
            <w:tcW w:w="256" w:type="pct"/>
            <w:tcBorders>
              <w:top w:val="single" w:color="auto" w:sz="12" w:space="0"/>
            </w:tcBorders>
            <w:shd w:val="clear" w:color="auto" w:fill="D7D7D7"/>
            <w:noWrap w:val="0"/>
            <w:vAlign w:val="center"/>
          </w:tcPr>
          <w:p w14:paraId="560B7327">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序号</w:t>
            </w:r>
          </w:p>
        </w:tc>
        <w:tc>
          <w:tcPr>
            <w:tcW w:w="1629" w:type="pct"/>
            <w:tcBorders>
              <w:top w:val="single" w:color="auto" w:sz="12" w:space="0"/>
            </w:tcBorders>
            <w:shd w:val="clear" w:color="auto" w:fill="D7D7D7"/>
            <w:noWrap w:val="0"/>
            <w:vAlign w:val="center"/>
          </w:tcPr>
          <w:p w14:paraId="798E547F">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报送资料名称</w:t>
            </w:r>
          </w:p>
        </w:tc>
        <w:tc>
          <w:tcPr>
            <w:tcW w:w="331" w:type="pct"/>
            <w:tcBorders>
              <w:top w:val="single" w:color="auto" w:sz="12" w:space="0"/>
            </w:tcBorders>
            <w:shd w:val="clear" w:color="auto" w:fill="D7D7D7"/>
            <w:noWrap w:val="0"/>
            <w:vAlign w:val="center"/>
          </w:tcPr>
          <w:p w14:paraId="0C7933C5">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必报</w:t>
            </w:r>
          </w:p>
        </w:tc>
        <w:tc>
          <w:tcPr>
            <w:tcW w:w="331" w:type="pct"/>
            <w:tcBorders>
              <w:top w:val="single" w:color="auto" w:sz="12" w:space="0"/>
            </w:tcBorders>
            <w:shd w:val="clear" w:color="auto" w:fill="D7D7D7"/>
            <w:noWrap w:val="0"/>
            <w:vAlign w:val="center"/>
          </w:tcPr>
          <w:p w14:paraId="32179B55">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条件报送</w:t>
            </w:r>
          </w:p>
        </w:tc>
        <w:tc>
          <w:tcPr>
            <w:tcW w:w="331" w:type="pct"/>
            <w:tcBorders>
              <w:top w:val="single" w:color="auto" w:sz="12" w:space="0"/>
            </w:tcBorders>
            <w:shd w:val="clear" w:color="auto" w:fill="D7D7D7"/>
            <w:noWrap w:val="0"/>
            <w:vAlign w:val="center"/>
          </w:tcPr>
          <w:p w14:paraId="6AD1C0D9">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归档</w:t>
            </w:r>
          </w:p>
        </w:tc>
        <w:tc>
          <w:tcPr>
            <w:tcW w:w="331" w:type="pct"/>
            <w:tcBorders>
              <w:top w:val="single" w:color="auto" w:sz="12" w:space="0"/>
            </w:tcBorders>
            <w:shd w:val="clear" w:color="auto" w:fill="D7D7D7"/>
            <w:noWrap w:val="0"/>
            <w:vAlign w:val="center"/>
          </w:tcPr>
          <w:p w14:paraId="2113EF47">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查验</w:t>
            </w:r>
          </w:p>
        </w:tc>
        <w:tc>
          <w:tcPr>
            <w:tcW w:w="399" w:type="pct"/>
            <w:tcBorders>
              <w:top w:val="single" w:color="auto" w:sz="12" w:space="0"/>
            </w:tcBorders>
            <w:shd w:val="clear" w:color="auto" w:fill="D7D7D7"/>
            <w:noWrap w:val="0"/>
            <w:vAlign w:val="center"/>
          </w:tcPr>
          <w:p w14:paraId="3F32A6D3">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代保管</w:t>
            </w:r>
          </w:p>
        </w:tc>
        <w:tc>
          <w:tcPr>
            <w:tcW w:w="329" w:type="pct"/>
            <w:tcBorders>
              <w:top w:val="single" w:color="auto" w:sz="12" w:space="0"/>
            </w:tcBorders>
            <w:shd w:val="clear" w:color="auto" w:fill="D7D7D7"/>
            <w:noWrap w:val="0"/>
            <w:vAlign w:val="center"/>
          </w:tcPr>
          <w:p w14:paraId="1DDA1C36">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核销</w:t>
            </w:r>
          </w:p>
        </w:tc>
        <w:tc>
          <w:tcPr>
            <w:tcW w:w="469" w:type="pct"/>
            <w:tcBorders>
              <w:top w:val="single" w:color="auto" w:sz="12" w:space="0"/>
            </w:tcBorders>
            <w:shd w:val="clear" w:color="auto" w:fill="D7D7D7"/>
            <w:noWrap w:val="0"/>
            <w:vAlign w:val="center"/>
          </w:tcPr>
          <w:p w14:paraId="5CFAF156">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容缺报送</w:t>
            </w:r>
          </w:p>
        </w:tc>
        <w:tc>
          <w:tcPr>
            <w:tcW w:w="591" w:type="pct"/>
            <w:tcBorders>
              <w:top w:val="single" w:color="auto" w:sz="12" w:space="0"/>
            </w:tcBorders>
            <w:shd w:val="clear" w:color="auto" w:fill="D7D7D7"/>
            <w:noWrap w:val="0"/>
            <w:vAlign w:val="center"/>
          </w:tcPr>
          <w:p w14:paraId="2A9A20EF">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b/>
                <w:bCs/>
                <w:sz w:val="24"/>
                <w:szCs w:val="24"/>
                <w:highlight w:val="none"/>
              </w:rPr>
            </w:pPr>
            <w:r>
              <w:rPr>
                <w:rFonts w:hint="eastAsia" w:ascii="宋体" w:hAnsi="宋体" w:eastAsia="宋体" w:cs="宋体"/>
                <w:b/>
                <w:kern w:val="0"/>
                <w:sz w:val="24"/>
                <w:szCs w:val="24"/>
                <w:highlight w:val="none"/>
              </w:rPr>
              <w:t>纳税人电子签名/印章</w:t>
            </w:r>
          </w:p>
        </w:tc>
      </w:tr>
      <w:tr w14:paraId="24518C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56" w:type="pct"/>
            <w:noWrap w:val="0"/>
            <w:vAlign w:val="center"/>
          </w:tcPr>
          <w:p w14:paraId="40787B8B">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1629" w:type="pct"/>
            <w:noWrap w:val="0"/>
            <w:vAlign w:val="top"/>
          </w:tcPr>
          <w:p w14:paraId="714089B5">
            <w:pPr>
              <w:pStyle w:val="15"/>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《B100000中华人民共和国企业所得税月（季）度预缴和年度纳税申报表（B类）》</w:t>
            </w:r>
          </w:p>
        </w:tc>
        <w:tc>
          <w:tcPr>
            <w:tcW w:w="331" w:type="pct"/>
            <w:noWrap w:val="0"/>
            <w:vAlign w:val="center"/>
          </w:tcPr>
          <w:p w14:paraId="162EFEAE">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331" w:type="pct"/>
            <w:noWrap w:val="0"/>
            <w:vAlign w:val="center"/>
          </w:tcPr>
          <w:p w14:paraId="6E618C97">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331" w:type="pct"/>
            <w:noWrap w:val="0"/>
            <w:vAlign w:val="center"/>
          </w:tcPr>
          <w:p w14:paraId="6B19BB08">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331" w:type="pct"/>
            <w:noWrap w:val="0"/>
            <w:vAlign w:val="center"/>
          </w:tcPr>
          <w:p w14:paraId="335205DC">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399" w:type="pct"/>
            <w:noWrap w:val="0"/>
            <w:vAlign w:val="center"/>
          </w:tcPr>
          <w:p w14:paraId="62EFE7CA">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329" w:type="pct"/>
            <w:noWrap w:val="0"/>
            <w:vAlign w:val="center"/>
          </w:tcPr>
          <w:p w14:paraId="5BEC863B">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469" w:type="pct"/>
            <w:noWrap w:val="0"/>
            <w:vAlign w:val="center"/>
          </w:tcPr>
          <w:p w14:paraId="6EC8365C">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591" w:type="pct"/>
            <w:noWrap w:val="0"/>
            <w:vAlign w:val="center"/>
          </w:tcPr>
          <w:p w14:paraId="52BE8E6A">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r>
      <w:tr w14:paraId="1C63F3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blHeader/>
          <w:jc w:val="center"/>
        </w:trPr>
        <w:tc>
          <w:tcPr>
            <w:tcW w:w="256" w:type="pct"/>
            <w:tcBorders>
              <w:bottom w:val="single" w:color="auto" w:sz="12" w:space="0"/>
            </w:tcBorders>
            <w:noWrap w:val="0"/>
            <w:vAlign w:val="center"/>
          </w:tcPr>
          <w:p w14:paraId="156D0DB2">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1629" w:type="pct"/>
            <w:tcBorders>
              <w:bottom w:val="single" w:color="auto" w:sz="12" w:space="0"/>
            </w:tcBorders>
            <w:noWrap w:val="0"/>
            <w:vAlign w:val="center"/>
          </w:tcPr>
          <w:p w14:paraId="6BE59E82">
            <w:pPr>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rPr>
              <w:t>《居民企业参股外国企业信息报告表》</w:t>
            </w:r>
          </w:p>
        </w:tc>
        <w:tc>
          <w:tcPr>
            <w:tcW w:w="331" w:type="pct"/>
            <w:tcBorders>
              <w:bottom w:val="single" w:color="auto" w:sz="12" w:space="0"/>
            </w:tcBorders>
            <w:noWrap w:val="0"/>
            <w:vAlign w:val="center"/>
          </w:tcPr>
          <w:p w14:paraId="0256B585">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331" w:type="pct"/>
            <w:tcBorders>
              <w:bottom w:val="single" w:color="auto" w:sz="12" w:space="0"/>
            </w:tcBorders>
            <w:noWrap w:val="0"/>
            <w:vAlign w:val="center"/>
          </w:tcPr>
          <w:p w14:paraId="766833D0">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331" w:type="pct"/>
            <w:tcBorders>
              <w:bottom w:val="single" w:color="auto" w:sz="12" w:space="0"/>
            </w:tcBorders>
            <w:noWrap w:val="0"/>
            <w:vAlign w:val="center"/>
          </w:tcPr>
          <w:p w14:paraId="45898500">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331" w:type="pct"/>
            <w:tcBorders>
              <w:bottom w:val="single" w:color="auto" w:sz="12" w:space="0"/>
            </w:tcBorders>
            <w:noWrap w:val="0"/>
            <w:vAlign w:val="center"/>
          </w:tcPr>
          <w:p w14:paraId="3FFF1201">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399" w:type="pct"/>
            <w:tcBorders>
              <w:bottom w:val="single" w:color="auto" w:sz="12" w:space="0"/>
            </w:tcBorders>
            <w:noWrap w:val="0"/>
            <w:vAlign w:val="center"/>
          </w:tcPr>
          <w:p w14:paraId="7082081A">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329" w:type="pct"/>
            <w:tcBorders>
              <w:bottom w:val="single" w:color="auto" w:sz="12" w:space="0"/>
            </w:tcBorders>
            <w:noWrap w:val="0"/>
            <w:vAlign w:val="center"/>
          </w:tcPr>
          <w:p w14:paraId="1292F24C">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p>
        </w:tc>
        <w:tc>
          <w:tcPr>
            <w:tcW w:w="469" w:type="pct"/>
            <w:tcBorders>
              <w:bottom w:val="single" w:color="auto" w:sz="12" w:space="0"/>
            </w:tcBorders>
            <w:noWrap w:val="0"/>
            <w:vAlign w:val="center"/>
          </w:tcPr>
          <w:p w14:paraId="71A7D672">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c>
          <w:tcPr>
            <w:tcW w:w="591" w:type="pct"/>
            <w:tcBorders>
              <w:bottom w:val="single" w:color="auto" w:sz="12" w:space="0"/>
            </w:tcBorders>
            <w:noWrap w:val="0"/>
            <w:vAlign w:val="center"/>
          </w:tcPr>
          <w:p w14:paraId="64E3D74B">
            <w:pPr>
              <w:pageBreakBefore w:val="0"/>
              <w:kinsoku/>
              <w:wordWrap/>
              <w:overflowPunct/>
              <w:topLinePunct w:val="0"/>
              <w:autoSpaceDE/>
              <w:autoSpaceDN/>
              <w:bidi w:val="0"/>
              <w:adjustRightInd/>
              <w:snapToGrid/>
              <w:spacing w:before="157" w:beforeLines="50" w:after="157" w:afterLines="50" w:line="360" w:lineRule="auto"/>
              <w:jc w:val="center"/>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w:t>
            </w:r>
          </w:p>
        </w:tc>
      </w:tr>
    </w:tbl>
    <w:p w14:paraId="68D1060D">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1134"/>
        <w:jc w:val="left"/>
        <w:textAlignment w:val="auto"/>
        <w:rPr>
          <w:rFonts w:hint="eastAsia" w:ascii="宋体" w:hAnsi="宋体" w:eastAsia="宋体" w:cs="宋体"/>
          <w:kern w:val="2"/>
          <w:sz w:val="24"/>
          <w:szCs w:val="24"/>
          <w:highlight w:val="none"/>
          <w:lang w:val="en-US" w:eastAsia="zh-CN" w:bidi="ar-SA"/>
        </w:rPr>
      </w:pPr>
      <w:bookmarkStart w:id="14" w:name="_Toc1138"/>
      <w:bookmarkStart w:id="15" w:name="_Toc24955"/>
      <w:bookmarkStart w:id="16" w:name="_Toc20337"/>
      <w:bookmarkStart w:id="17" w:name="_Toc3109"/>
      <w:bookmarkStart w:id="18" w:name="_Toc20005"/>
      <w:bookmarkStart w:id="19" w:name="_Toc22564"/>
      <w:bookmarkStart w:id="20" w:name="_Toc22859"/>
      <w:bookmarkStart w:id="21" w:name="_Toc20518"/>
      <w:bookmarkStart w:id="22" w:name="_Toc29439"/>
      <w:bookmarkStart w:id="23" w:name="_Toc23728"/>
      <w:bookmarkStart w:id="24" w:name="_Toc11161"/>
      <w:bookmarkStart w:id="25" w:name="_Toc20101"/>
      <w:r>
        <w:rPr>
          <w:rFonts w:hint="eastAsia" w:ascii="宋体" w:hAnsi="宋体" w:eastAsia="宋体" w:cs="宋体"/>
          <w:kern w:val="2"/>
          <w:sz w:val="24"/>
          <w:szCs w:val="24"/>
          <w:highlight w:val="none"/>
          <w:lang w:val="en-US" w:eastAsia="zh-CN" w:bidi="ar-SA"/>
        </w:rPr>
        <w:t>条件报送资料的报送条件为：</w:t>
      </w:r>
    </w:p>
    <w:p w14:paraId="68DC80C4">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1134"/>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居民企业成立或参股外国企业，或者处置已持有的外国企业股份或有表决权股份，符合以下情形之一，且按照中国会计制度可确认的，应当在办理企业所得税预缴申报时向主管税务提交：</w:t>
      </w:r>
    </w:p>
    <w:p w14:paraId="6ED72261">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1134"/>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（一）居民企业直接或间接持有外国企业股份或有表决权股份达到10%（含）以上；</w:t>
      </w:r>
    </w:p>
    <w:p w14:paraId="4F0B3F66">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1134"/>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（二）居民企业在被投资外国企业中直接或间接持有的股份或有表决权股份自不足10%的状态改变为达到或超过10%的状态；</w:t>
      </w:r>
    </w:p>
    <w:p w14:paraId="59325AA3">
      <w:pPr>
        <w:pStyle w:val="19"/>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1134"/>
        <w:textAlignment w:val="auto"/>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（三）居民企业在被投资外国企业中直接或间接持有的股份或有表决权股份自达到或超过10%的状态改变为不足10%的状态。</w:t>
      </w:r>
    </w:p>
    <w:p w14:paraId="3FEC1717">
      <w:pPr>
        <w:pStyle w:val="19"/>
        <w:pageBreakBefore w:val="0"/>
        <w:kinsoku/>
        <w:wordWrap/>
        <w:overflowPunct/>
        <w:topLinePunct w:val="0"/>
        <w:autoSpaceDE/>
        <w:autoSpaceDN/>
        <w:bidi w:val="0"/>
        <w:adjustRightInd/>
        <w:snapToGrid/>
        <w:spacing w:before="157" w:beforeLines="50" w:after="157" w:afterLines="50" w:line="360" w:lineRule="auto"/>
        <w:jc w:val="center"/>
        <w:textAlignment w:val="auto"/>
        <w:outlineLvl w:val="1"/>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居民企业参股外国企业信息报告表容缺差异化管理</w:t>
      </w:r>
      <w:bookmarkEnd w:id="14"/>
      <w:bookmarkEnd w:id="15"/>
      <w:bookmarkEnd w:id="16"/>
      <w:bookmarkEnd w:id="17"/>
      <w:bookmarkEnd w:id="18"/>
      <w:bookmarkEnd w:id="19"/>
      <w:bookmarkEnd w:id="20"/>
      <w:bookmarkEnd w:id="21"/>
      <w:bookmarkEnd w:id="22"/>
      <w:bookmarkEnd w:id="23"/>
      <w:bookmarkEnd w:id="24"/>
      <w:bookmarkEnd w:id="25"/>
    </w:p>
    <w:tbl>
      <w:tblPr>
        <w:tblStyle w:val="8"/>
        <w:tblW w:w="8294" w:type="dxa"/>
        <w:tblInd w:w="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63"/>
        <w:gridCol w:w="2018"/>
        <w:gridCol w:w="2062"/>
        <w:gridCol w:w="1951"/>
      </w:tblGrid>
      <w:tr w14:paraId="2EEDEB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00" w:hRule="atLeast"/>
          <w:tblHeader/>
        </w:trPr>
        <w:tc>
          <w:tcPr>
            <w:tcW w:w="2263" w:type="dxa"/>
            <w:tcBorders>
              <w:top w:val="single" w:color="auto" w:sz="2" w:space="0"/>
              <w:left w:val="single" w:color="auto" w:sz="2" w:space="0"/>
              <w:bottom w:val="single" w:color="auto" w:sz="2" w:space="0"/>
              <w:right w:val="single" w:color="auto" w:sz="2" w:space="0"/>
              <w:tl2br w:val="single" w:color="auto" w:sz="4" w:space="0"/>
            </w:tcBorders>
            <w:shd w:val="clear" w:color="auto" w:fill="D7D7D7"/>
            <w:noWrap w:val="0"/>
            <w:vAlign w:val="top"/>
          </w:tcPr>
          <w:p w14:paraId="5112E20C">
            <w:pPr>
              <w:pStyle w:val="21"/>
              <w:pageBreakBefore w:val="0"/>
              <w:kinsoku/>
              <w:wordWrap/>
              <w:overflowPunct/>
              <w:topLinePunct w:val="0"/>
              <w:autoSpaceDE/>
              <w:autoSpaceDN/>
              <w:bidi w:val="0"/>
              <w:adjustRightInd/>
              <w:snapToGrid/>
              <w:spacing w:before="157" w:beforeLines="50" w:after="157" w:afterLines="50" w:line="360" w:lineRule="auto"/>
              <w:jc w:val="right"/>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双动风险等级</w:t>
            </w:r>
          </w:p>
          <w:p w14:paraId="5CA18BBD">
            <w:pPr>
              <w:pStyle w:val="21"/>
              <w:pageBreakBefore w:val="0"/>
              <w:kinsoku/>
              <w:wordWrap/>
              <w:overflowPunct/>
              <w:topLinePunct w:val="0"/>
              <w:autoSpaceDE/>
              <w:autoSpaceDN/>
              <w:bidi w:val="0"/>
              <w:adjustRightInd/>
              <w:snapToGrid/>
              <w:spacing w:before="157" w:beforeLines="50" w:after="157" w:afterLines="50" w:line="360" w:lineRule="auto"/>
              <w:jc w:val="both"/>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资料名称</w:t>
            </w:r>
          </w:p>
        </w:tc>
        <w:tc>
          <w:tcPr>
            <w:tcW w:w="2018" w:type="dxa"/>
            <w:tcBorders>
              <w:top w:val="single" w:color="auto" w:sz="2" w:space="0"/>
              <w:left w:val="single" w:color="auto" w:sz="2" w:space="0"/>
              <w:bottom w:val="single" w:color="auto" w:sz="2" w:space="0"/>
              <w:right w:val="single" w:color="auto" w:sz="2" w:space="0"/>
            </w:tcBorders>
            <w:shd w:val="clear" w:color="auto" w:fill="D7D7D7"/>
            <w:noWrap w:val="0"/>
            <w:vAlign w:val="center"/>
          </w:tcPr>
          <w:p w14:paraId="768B0CDD">
            <w:pPr>
              <w:pStyle w:val="21"/>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高信用</w:t>
            </w:r>
          </w:p>
        </w:tc>
        <w:tc>
          <w:tcPr>
            <w:tcW w:w="2062" w:type="dxa"/>
            <w:tcBorders>
              <w:top w:val="single" w:color="auto" w:sz="2" w:space="0"/>
              <w:left w:val="single" w:color="auto" w:sz="2" w:space="0"/>
              <w:bottom w:val="single" w:color="auto" w:sz="2" w:space="0"/>
              <w:right w:val="single" w:color="auto" w:sz="2" w:space="0"/>
            </w:tcBorders>
            <w:shd w:val="clear" w:color="auto" w:fill="D7D7D7"/>
            <w:noWrap w:val="0"/>
            <w:vAlign w:val="center"/>
          </w:tcPr>
          <w:p w14:paraId="6E291214">
            <w:pPr>
              <w:pStyle w:val="21"/>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中信用</w:t>
            </w:r>
          </w:p>
        </w:tc>
        <w:tc>
          <w:tcPr>
            <w:tcW w:w="1951" w:type="dxa"/>
            <w:tcBorders>
              <w:top w:val="single" w:color="auto" w:sz="2" w:space="0"/>
              <w:left w:val="single" w:color="auto" w:sz="2" w:space="0"/>
              <w:bottom w:val="single" w:color="auto" w:sz="2" w:space="0"/>
              <w:right w:val="single" w:color="auto" w:sz="2" w:space="0"/>
            </w:tcBorders>
            <w:shd w:val="clear" w:color="auto" w:fill="D7D7D7"/>
            <w:noWrap w:val="0"/>
            <w:vAlign w:val="center"/>
          </w:tcPr>
          <w:p w14:paraId="642EC1C8">
            <w:pPr>
              <w:pStyle w:val="21"/>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低信用、严重失信</w:t>
            </w:r>
          </w:p>
        </w:tc>
      </w:tr>
      <w:tr w14:paraId="531805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2263" w:type="dxa"/>
            <w:tcBorders>
              <w:top w:val="single" w:color="auto" w:sz="2" w:space="0"/>
              <w:left w:val="single" w:color="auto" w:sz="2" w:space="0"/>
              <w:bottom w:val="single" w:color="auto" w:sz="2" w:space="0"/>
              <w:right w:val="single" w:color="auto" w:sz="2" w:space="0"/>
            </w:tcBorders>
            <w:noWrap w:val="0"/>
            <w:vAlign w:val="center"/>
          </w:tcPr>
          <w:p w14:paraId="3E12E502">
            <w:pPr>
              <w:pStyle w:val="21"/>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val="0"/>
                <w:sz w:val="24"/>
                <w:szCs w:val="24"/>
                <w:highlight w:val="none"/>
              </w:rPr>
            </w:pPr>
            <w:r>
              <w:rPr>
                <w:rFonts w:hint="eastAsia" w:ascii="宋体" w:hAnsi="宋体" w:eastAsia="宋体" w:cs="宋体"/>
                <w:b w:val="0"/>
                <w:color w:val="000000"/>
                <w:kern w:val="0"/>
                <w:sz w:val="24"/>
                <w:szCs w:val="24"/>
                <w:highlight w:val="none"/>
              </w:rPr>
              <w:t>《居民企业参股外国企业信息报告表》</w:t>
            </w:r>
          </w:p>
        </w:tc>
        <w:tc>
          <w:tcPr>
            <w:tcW w:w="2018" w:type="dxa"/>
            <w:tcBorders>
              <w:top w:val="single" w:color="auto" w:sz="2" w:space="0"/>
              <w:left w:val="single" w:color="auto" w:sz="2" w:space="0"/>
              <w:bottom w:val="single" w:color="auto" w:sz="2" w:space="0"/>
              <w:right w:val="single" w:color="auto" w:sz="2" w:space="0"/>
            </w:tcBorders>
            <w:noWrap w:val="0"/>
            <w:vAlign w:val="center"/>
          </w:tcPr>
          <w:p w14:paraId="2BE842EF">
            <w:pPr>
              <w:pStyle w:val="2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容缺</w:t>
            </w:r>
          </w:p>
        </w:tc>
        <w:tc>
          <w:tcPr>
            <w:tcW w:w="2062" w:type="dxa"/>
            <w:tcBorders>
              <w:top w:val="single" w:color="auto" w:sz="2" w:space="0"/>
              <w:left w:val="single" w:color="auto" w:sz="2" w:space="0"/>
              <w:bottom w:val="single" w:color="auto" w:sz="2" w:space="0"/>
              <w:right w:val="single" w:color="auto" w:sz="2" w:space="0"/>
            </w:tcBorders>
            <w:noWrap w:val="0"/>
            <w:vAlign w:val="center"/>
          </w:tcPr>
          <w:p w14:paraId="1BD47F4F">
            <w:pPr>
              <w:pStyle w:val="2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容缺</w:t>
            </w:r>
          </w:p>
        </w:tc>
        <w:tc>
          <w:tcPr>
            <w:tcW w:w="1951" w:type="dxa"/>
            <w:tcBorders>
              <w:top w:val="single" w:color="auto" w:sz="2" w:space="0"/>
              <w:left w:val="single" w:color="auto" w:sz="2" w:space="0"/>
              <w:bottom w:val="single" w:color="auto" w:sz="2" w:space="0"/>
              <w:right w:val="single" w:color="auto" w:sz="2" w:space="0"/>
            </w:tcBorders>
            <w:noWrap w:val="0"/>
            <w:vAlign w:val="center"/>
          </w:tcPr>
          <w:p w14:paraId="3E386888">
            <w:pPr>
              <w:pStyle w:val="22"/>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kern w:val="20"/>
                <w:sz w:val="24"/>
                <w:szCs w:val="24"/>
                <w:highlight w:val="none"/>
              </w:rPr>
            </w:pPr>
            <w:r>
              <w:rPr>
                <w:rFonts w:hint="eastAsia" w:ascii="宋体" w:hAnsi="宋体" w:eastAsia="宋体" w:cs="宋体"/>
                <w:sz w:val="24"/>
                <w:szCs w:val="24"/>
                <w:highlight w:val="none"/>
              </w:rPr>
              <w:t>不容缺</w:t>
            </w:r>
          </w:p>
        </w:tc>
      </w:tr>
    </w:tbl>
    <w:p w14:paraId="61AE149C">
      <w:pPr>
        <w:pStyle w:val="3"/>
        <w:pageBreakBefore w:val="0"/>
        <w:kinsoku/>
        <w:wordWrap/>
        <w:overflowPunct/>
        <w:topLinePunct w:val="0"/>
        <w:autoSpaceDE/>
        <w:autoSpaceDN/>
        <w:bidi w:val="0"/>
        <w:adjustRightInd/>
        <w:snapToGrid/>
        <w:spacing w:before="157" w:beforeLines="50" w:after="157" w:afterLines="50" w:line="360" w:lineRule="auto"/>
        <w:textAlignment w:val="auto"/>
        <w:rPr>
          <w:rFonts w:hint="eastAsia" w:ascii="宋体" w:hAnsi="宋体" w:eastAsia="宋体" w:cs="宋体"/>
          <w:b/>
          <w:sz w:val="24"/>
          <w:szCs w:val="24"/>
          <w:highlight w:val="none"/>
          <w:lang w:val="en-US" w:eastAsia="zh-Hans"/>
        </w:rPr>
      </w:pPr>
      <w:r>
        <w:rPr>
          <w:rFonts w:hint="eastAsia" w:ascii="宋体" w:hAnsi="宋体" w:eastAsia="宋体" w:cs="宋体"/>
          <w:b/>
          <w:sz w:val="24"/>
          <w:szCs w:val="24"/>
          <w:highlight w:val="none"/>
          <w:lang w:val="en-US" w:eastAsia="zh-CN"/>
        </w:rPr>
        <w:t>七、</w:t>
      </w:r>
      <w:r>
        <w:rPr>
          <w:rFonts w:hint="eastAsia" w:ascii="宋体" w:hAnsi="宋体" w:eastAsia="宋体" w:cs="宋体"/>
          <w:b/>
          <w:sz w:val="24"/>
          <w:szCs w:val="24"/>
          <w:highlight w:val="none"/>
          <w:lang w:val="en-US" w:eastAsia="zh-Hans"/>
        </w:rPr>
        <w:t>注意事项</w:t>
      </w:r>
    </w:p>
    <w:p w14:paraId="300CF77E">
      <w:pPr>
        <w:pStyle w:val="2"/>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1.企业所得税预缴申报必需连续进行,之前缺漏的属期要先补充完整,才能进行后续申报。预缴申报完整的，才能进行当年属期的年度申报。</w:t>
      </w:r>
    </w:p>
    <w:p w14:paraId="6DEBD3E1">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0" w:leftChars="0" w:firstLine="480" w:firstLineChars="200"/>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2.企业所得税分月或者分季预缴，由税务机关具体核定。符合条件的小型微利企业，实行按季度申报预缴企业所得税。</w:t>
      </w:r>
    </w:p>
    <w:bookmarkEnd w:id="26"/>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ongti SC">
    <w:altName w:val="宋体"/>
    <w:panose1 w:val="00000000000000000000"/>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555E51"/>
    <w:multiLevelType w:val="singleLevel"/>
    <w:tmpl w:val="AC555E51"/>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NkNzI4ZWE2YWFkODA1YzI5MjcwMzNkMTY5ZGQ3NTcifQ=="/>
  </w:docVars>
  <w:rsids>
    <w:rsidRoot w:val="3D226192"/>
    <w:rsid w:val="00582397"/>
    <w:rsid w:val="00F642A6"/>
    <w:rsid w:val="010949BE"/>
    <w:rsid w:val="0744774D"/>
    <w:rsid w:val="0DB9275B"/>
    <w:rsid w:val="107D492D"/>
    <w:rsid w:val="17327388"/>
    <w:rsid w:val="1FE6009E"/>
    <w:rsid w:val="2DF421BF"/>
    <w:rsid w:val="2F962F65"/>
    <w:rsid w:val="313A3427"/>
    <w:rsid w:val="35325C07"/>
    <w:rsid w:val="3D226192"/>
    <w:rsid w:val="508409A6"/>
    <w:rsid w:val="602202C6"/>
    <w:rsid w:val="61E37C07"/>
    <w:rsid w:val="66F92F61"/>
    <w:rsid w:val="70A65E7E"/>
    <w:rsid w:val="7D9661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0"/>
    <w:pPr>
      <w:keepNext/>
      <w:keepLines/>
      <w:outlineLvl w:val="1"/>
    </w:pPr>
    <w:rPr>
      <w:rFonts w:ascii="Arial" w:hAnsi="Arial" w:eastAsia="黑体"/>
      <w:b/>
      <w:sz w:val="28"/>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TableOfAuthoring"/>
    <w:basedOn w:val="1"/>
    <w:next w:val="1"/>
    <w:qFormat/>
    <w:uiPriority w:val="0"/>
    <w:pPr>
      <w:ind w:left="420" w:leftChars="200"/>
    </w:pPr>
  </w:style>
  <w:style w:type="paragraph" w:styleId="5">
    <w:name w:val="annotation text"/>
    <w:basedOn w:val="1"/>
    <w:link w:val="23"/>
    <w:qFormat/>
    <w:uiPriority w:val="0"/>
    <w:pPr>
      <w:jc w:val="left"/>
    </w:pPr>
  </w:style>
  <w:style w:type="paragraph" w:styleId="6">
    <w:name w:val="Balloon Text"/>
    <w:basedOn w:val="1"/>
    <w:link w:val="25"/>
    <w:qFormat/>
    <w:uiPriority w:val="0"/>
    <w:rPr>
      <w:sz w:val="18"/>
      <w:szCs w:val="18"/>
    </w:rPr>
  </w:style>
  <w:style w:type="paragraph" w:styleId="7">
    <w:name w:val="annotation subject"/>
    <w:basedOn w:val="5"/>
    <w:next w:val="5"/>
    <w:link w:val="24"/>
    <w:qFormat/>
    <w:uiPriority w:val="0"/>
    <w:rPr>
      <w:b/>
      <w:bCs/>
    </w:rPr>
  </w:style>
  <w:style w:type="character" w:styleId="10">
    <w:name w:val="Hyperlink"/>
    <w:basedOn w:val="9"/>
    <w:qFormat/>
    <w:uiPriority w:val="0"/>
    <w:rPr>
      <w:color w:val="0000FF"/>
      <w:u w:val="single"/>
    </w:rPr>
  </w:style>
  <w:style w:type="character" w:styleId="11">
    <w:name w:val="annotation reference"/>
    <w:basedOn w:val="9"/>
    <w:qFormat/>
    <w:uiPriority w:val="0"/>
    <w:rPr>
      <w:sz w:val="21"/>
      <w:szCs w:val="21"/>
    </w:rPr>
  </w:style>
  <w:style w:type="paragraph" w:customStyle="1" w:styleId="12">
    <w:name w:val="Normal Indent1"/>
    <w:qFormat/>
    <w:uiPriority w:val="0"/>
    <w:pPr>
      <w:spacing w:line="360" w:lineRule="auto"/>
      <w:ind w:firstLine="883" w:firstLineChars="200"/>
    </w:pPr>
    <w:rPr>
      <w:rFonts w:ascii="Songti SC" w:hAnsi="Songti SC" w:eastAsia="宋体" w:cs="Songti SC"/>
      <w:sz w:val="24"/>
      <w:szCs w:val="24"/>
      <w:lang w:val="en-US" w:eastAsia="zh-CN" w:bidi="ar-SA"/>
    </w:rPr>
  </w:style>
  <w:style w:type="paragraph" w:customStyle="1" w:styleId="13">
    <w:name w:val="表格列标题"/>
    <w:basedOn w:val="14"/>
    <w:qFormat/>
    <w:uiPriority w:val="0"/>
    <w:pPr>
      <w:jc w:val="center"/>
    </w:pPr>
    <w:rPr>
      <w:rFonts w:ascii="Arial" w:hAnsi="Arial" w:cs="Arial"/>
      <w:b/>
      <w:sz w:val="18"/>
    </w:rPr>
  </w:style>
  <w:style w:type="paragraph" w:customStyle="1" w:styleId="14">
    <w:name w:val="正文1"/>
    <w:qFormat/>
    <w:uiPriority w:val="0"/>
    <w:pPr>
      <w:widowControl w:val="0"/>
      <w:jc w:val="both"/>
    </w:pPr>
    <w:rPr>
      <w:rFonts w:ascii="Calibri" w:hAnsi="Calibri" w:eastAsia="宋体" w:cs="Times New Roman"/>
      <w:lang w:val="en-US" w:eastAsia="zh-CN" w:bidi="ar-SA"/>
    </w:rPr>
  </w:style>
  <w:style w:type="paragraph" w:customStyle="1" w:styleId="15">
    <w:name w:val="表格文字 左对齐"/>
    <w:basedOn w:val="16"/>
    <w:qFormat/>
    <w:uiPriority w:val="0"/>
    <w:rPr>
      <w:rFonts w:ascii="Arial" w:hAnsi="Arial" w:cs="Arial"/>
      <w:sz w:val="18"/>
    </w:rPr>
  </w:style>
  <w:style w:type="paragraph" w:customStyle="1" w:styleId="16">
    <w:name w:val="正文_1"/>
    <w:qFormat/>
    <w:uiPriority w:val="0"/>
    <w:rPr>
      <w:rFonts w:ascii="Times New Roman" w:hAnsi="Times New Roman" w:eastAsia="Times New Roman" w:cs="Times New Roman"/>
      <w:sz w:val="24"/>
      <w:szCs w:val="24"/>
      <w:lang w:val="en-US" w:eastAsia="zh-CN" w:bidi="ar-SA"/>
    </w:rPr>
  </w:style>
  <w:style w:type="paragraph" w:styleId="17">
    <w:name w:val="List Paragraph"/>
    <w:basedOn w:val="1"/>
    <w:qFormat/>
    <w:uiPriority w:val="34"/>
    <w:pPr>
      <w:ind w:firstLine="420" w:firstLineChars="200"/>
    </w:pPr>
  </w:style>
  <w:style w:type="paragraph" w:customStyle="1" w:styleId="18">
    <w:name w:val="_Style 3"/>
    <w:basedOn w:val="1"/>
    <w:qFormat/>
    <w:uiPriority w:val="0"/>
    <w:pPr>
      <w:ind w:firstLine="420" w:firstLineChars="200"/>
    </w:pPr>
    <w:rPr>
      <w:szCs w:val="22"/>
    </w:rPr>
  </w:style>
  <w:style w:type="paragraph" w:customStyle="1" w:styleId="19">
    <w:name w:val="需求正文"/>
    <w:basedOn w:val="20"/>
    <w:qFormat/>
    <w:uiPriority w:val="0"/>
    <w:pPr>
      <w:ind w:firstLine="420"/>
    </w:pPr>
    <w:rPr>
      <w:rFonts w:ascii="Arial" w:hAnsi="Arial" w:cs="Arial"/>
    </w:rPr>
  </w:style>
  <w:style w:type="paragraph" w:customStyle="1" w:styleId="20">
    <w:name w:val="正文_0"/>
    <w:qFormat/>
    <w:uiPriority w:val="0"/>
    <w:pPr>
      <w:widowControl w:val="0"/>
      <w:jc w:val="both"/>
    </w:pPr>
    <w:rPr>
      <w:rFonts w:ascii="Calibri" w:hAnsi="Calibri" w:eastAsia="宋体" w:cs="Calibri"/>
      <w:kern w:val="2"/>
      <w:sz w:val="21"/>
      <w:szCs w:val="21"/>
      <w:lang w:val="en-US" w:eastAsia="zh-CN" w:bidi="ar-SA"/>
    </w:rPr>
  </w:style>
  <w:style w:type="paragraph" w:customStyle="1" w:styleId="21">
    <w:name w:val="表格列标题_0"/>
    <w:basedOn w:val="1"/>
    <w:qFormat/>
    <w:uiPriority w:val="0"/>
    <w:pPr>
      <w:jc w:val="center"/>
    </w:pPr>
    <w:rPr>
      <w:rFonts w:ascii="Arial" w:hAnsi="Arial"/>
      <w:b/>
      <w:sz w:val="18"/>
    </w:rPr>
  </w:style>
  <w:style w:type="paragraph" w:customStyle="1" w:styleId="22">
    <w:name w:val="表格文字 居中_0"/>
    <w:basedOn w:val="1"/>
    <w:qFormat/>
    <w:uiPriority w:val="0"/>
    <w:pPr>
      <w:jc w:val="center"/>
    </w:pPr>
    <w:rPr>
      <w:rFonts w:ascii="Arial" w:hAnsi="Arial"/>
      <w:sz w:val="18"/>
    </w:rPr>
  </w:style>
  <w:style w:type="character" w:customStyle="1" w:styleId="23">
    <w:name w:val="批注文字 Char"/>
    <w:basedOn w:val="9"/>
    <w:link w:val="5"/>
    <w:qFormat/>
    <w:uiPriority w:val="0"/>
    <w:rPr>
      <w:rFonts w:ascii="Calibri" w:hAnsi="Calibri" w:eastAsia="宋体" w:cs="Times New Roman"/>
      <w:kern w:val="2"/>
      <w:sz w:val="21"/>
      <w:szCs w:val="24"/>
    </w:rPr>
  </w:style>
  <w:style w:type="character" w:customStyle="1" w:styleId="24">
    <w:name w:val="批注主题 Char"/>
    <w:basedOn w:val="23"/>
    <w:link w:val="7"/>
    <w:qFormat/>
    <w:uiPriority w:val="0"/>
    <w:rPr>
      <w:b/>
      <w:bCs/>
    </w:rPr>
  </w:style>
  <w:style w:type="character" w:customStyle="1" w:styleId="25">
    <w:name w:val="批注框文本 Char"/>
    <w:basedOn w:val="9"/>
    <w:link w:val="6"/>
    <w:qFormat/>
    <w:uiPriority w:val="0"/>
    <w:rPr>
      <w:rFonts w:ascii="Calibri" w:hAnsi="Calibri"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1857</Words>
  <Characters>1979</Characters>
  <Lines>8</Lines>
  <Paragraphs>2</Paragraphs>
  <TotalTime>55</TotalTime>
  <ScaleCrop>false</ScaleCrop>
  <LinksUpToDate>false</LinksUpToDate>
  <CharactersWithSpaces>1983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2024-04-01T06:24:00Z</dcterms:created>
  <dc:creator>WPS_1609766624</dc:creator>
  <cp:lastModifiedBy>默默</cp:lastModifiedBy>
  <dcterms:modified xsi:type="dcterms:W3CDTF">2025-07-08T07:03:13Z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2E13C4F8D6884DAD90DA2E10424A7043_13</vt:lpwstr>
  </property>
  <property fmtid="{D5CDD505-2E9C-101B-9397-08002B2CF9AE}" pid="4" name="KSOTemplateDocerSaveRecord">
    <vt:lpwstr>eyJoZGlkIjoiYWI0MTczMTlmZGQwMDlkNjE0Y2E2NDViNmNjNWY1ZmYiLCJ1c2VySWQiOiI3MzkzMzY4MTcifQ==</vt:lpwstr>
  </property>
</Properties>
</file>