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0407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3.2.5  清算企业所得税申报——1062</w:t>
      </w:r>
    </w:p>
    <w:p w14:paraId="3CA61D97">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14:paraId="7978954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一、业务概述</w:t>
      </w:r>
    </w:p>
    <w:p w14:paraId="439530F2">
      <w:pPr>
        <w:keepNext/>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企业应当在办理注销登记前，就其清算所得向税务机关申报并依法缴纳企业所得税</w:t>
      </w:r>
      <w:r>
        <w:rPr>
          <w:rFonts w:hint="eastAsia" w:ascii="宋体" w:hAnsi="宋体" w:eastAsia="宋体" w:cs="宋体"/>
          <w:kern w:val="0"/>
          <w:sz w:val="24"/>
          <w:szCs w:val="24"/>
          <w:highlight w:val="none"/>
        </w:rPr>
        <w:t>。企业清算时，应当以整个清算期间作为一个纳税年度，依法计算清算所得及其应纳所得税。企业应当自清算结束之日起15日内，向主管税务机关报送企业清算所得税纳税申报表，结清税款。</w:t>
      </w:r>
    </w:p>
    <w:p w14:paraId="3B181E6C">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办理流程</w:t>
      </w:r>
    </w:p>
    <w:p w14:paraId="148252DA">
      <w:pPr>
        <w:pStyle w:val="2"/>
        <w:pageBreakBefore w:val="0"/>
        <w:numPr>
          <w:ilvl w:val="0"/>
          <w:numId w:val="1"/>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纳税人进入“清算企业所得税申报”申请界面。可通过财务报表报送和汇算清缴申报后提醒的方式跳转链接、自行选择功能菜单方式进入《清算企业所得税申报》模块。</w:t>
      </w:r>
    </w:p>
    <w:p w14:paraId="0B57AAD5">
      <w:pPr>
        <w:pStyle w:val="2"/>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2、系统调用应用支撑平台接口获取生成清算企业所得税申报表预填信息；并展示清算企业所得税申报表预填信息。</w:t>
      </w:r>
    </w:p>
    <w:p w14:paraId="4000BBE5">
      <w:pPr>
        <w:pStyle w:val="2"/>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纳税人自行判断带出的清算企业所得税申报表预填信息以及补录要求填报的信息项；系统提供数据预填和数据校验服务，在实现预填基础上，对纳税人修改后的信息或者不完善的信息进行校验并提醒；纳税人提交申报，系统进行“居民企业所得税税收政策遵从风险提示”扫描，并展示扫描结果。</w:t>
      </w:r>
    </w:p>
    <w:p w14:paraId="624478F4">
      <w:pPr>
        <w:pStyle w:val="2"/>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4、纳税人根据风险提示自查和更正，确认后可保存申报；进行税款清缴，打印税票。</w:t>
      </w:r>
    </w:p>
    <w:p w14:paraId="7C450AD2">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p w14:paraId="09E3479D">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、功能路径</w:t>
      </w:r>
    </w:p>
    <w:p w14:paraId="31338EBE">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1.【我要办税】-【税费申报及缴纳】-【企业所得税申报】-【清算企业所得税申报】；</w:t>
      </w:r>
    </w:p>
    <w:p w14:paraId="75F7916C">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2.数据驱动发起，通过消息提醒中的提示提醒进入办税功能；</w:t>
      </w:r>
    </w:p>
    <w:p w14:paraId="08338503">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shd w:val="clear" w:color="auto" w:fill="FFFFFF"/>
        </w:rPr>
        <w:t>3.搜索框直接搜索</w:t>
      </w:r>
      <w:r>
        <w:rPr>
          <w:rFonts w:hint="eastAsia" w:ascii="宋体" w:hAnsi="宋体" w:eastAsia="宋体" w:cs="宋体"/>
          <w:bCs/>
          <w:sz w:val="24"/>
          <w:szCs w:val="24"/>
          <w:highlight w:val="none"/>
        </w:rPr>
        <w:t>清算企业所得税申报。</w:t>
      </w:r>
    </w:p>
    <w:p w14:paraId="4F2B1847">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、操作步骤</w:t>
      </w:r>
    </w:p>
    <w:p w14:paraId="7F1F87B8">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1.进入清算企业所得税申报</w:t>
      </w:r>
    </w:p>
    <w:p w14:paraId="1ED5E41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纳税人可通过以下功能路径办理清算企业所得税申报：</w:t>
      </w:r>
    </w:p>
    <w:p w14:paraId="7510A210">
      <w:pPr>
        <w:pageBreakBefore w:val="0"/>
        <w:numPr>
          <w:ilvl w:val="0"/>
          <w:numId w:val="2"/>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【我要办税】-【税费申报及缴纳】-【企业所得税申报】-【清算企业所得税申报】</w:t>
      </w:r>
    </w:p>
    <w:p w14:paraId="1DF4337B">
      <w:pPr>
        <w:pStyle w:val="13"/>
        <w:pageBreakBefore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317115"/>
            <wp:effectExtent l="0" t="0" r="4445" b="698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cstate="print"/>
                    <a:stretch>
                      <a:fillRect/>
                    </a:stretch>
                  </pic:blipFill>
                  <pic:spPr>
                    <a:xfrm>
                      <a:off x="0" y="0"/>
                      <a:ext cx="5272405" cy="2317115"/>
                    </a:xfrm>
                    <a:prstGeom prst="rect">
                      <a:avLst/>
                    </a:prstGeom>
                    <a:noFill/>
                    <a:ln>
                      <a:noFill/>
                    </a:ln>
                  </pic:spPr>
                </pic:pic>
              </a:graphicData>
            </a:graphic>
          </wp:inline>
        </w:drawing>
      </w:r>
    </w:p>
    <w:p w14:paraId="4BE32077">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（2）通过首页搜索栏输入关键字搜索。</w:t>
      </w:r>
    </w:p>
    <w:p w14:paraId="56F1FB53">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2.申报缴款</w:t>
      </w:r>
    </w:p>
    <w:p w14:paraId="1F93E176">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进入申报时，系统默认为“补录式”申报，"资产处置损益额""负债清偿损益额""清算支出及扣除""剩余财产"等数据默认为零，纳税人如需填写，点击对应数据项下方的【填写明细表】或【前往计算】进行填写，如下图：</w:t>
      </w:r>
    </w:p>
    <w:p w14:paraId="46B1F8D1">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1135" cy="2734310"/>
            <wp:effectExtent l="19050" t="0" r="5715" b="0"/>
            <wp:docPr id="1" name="图片 1" descr="171136685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366851703"/>
                    <pic:cNvPicPr>
                      <a:picLocks noChangeAspect="1"/>
                    </pic:cNvPicPr>
                  </pic:nvPicPr>
                  <pic:blipFill>
                    <a:blip r:embed="rId5" cstate="print"/>
                    <a:stretch>
                      <a:fillRect/>
                    </a:stretch>
                  </pic:blipFill>
                  <pic:spPr>
                    <a:xfrm>
                      <a:off x="0" y="0"/>
                      <a:ext cx="5271135" cy="2734310"/>
                    </a:xfrm>
                    <a:prstGeom prst="rect">
                      <a:avLst/>
                    </a:prstGeom>
                  </pic:spPr>
                </pic:pic>
              </a:graphicData>
            </a:graphic>
          </wp:inline>
        </w:drawing>
      </w:r>
    </w:p>
    <w:p w14:paraId="59DEF3EA">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纳税人如需填报“资产处置损益额”相关信息，则点击数据项下方的【填写明细表】，系统弹出相应界面：</w:t>
      </w:r>
    </w:p>
    <w:p w14:paraId="033AEB36">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0500" cy="3160395"/>
            <wp:effectExtent l="0" t="0" r="6350" b="1905"/>
            <wp:docPr id="5" name="图片 5" descr="171136848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1368487465"/>
                    <pic:cNvPicPr>
                      <a:picLocks noChangeAspect="1"/>
                    </pic:cNvPicPr>
                  </pic:nvPicPr>
                  <pic:blipFill>
                    <a:blip r:embed="rId6" cstate="print"/>
                    <a:stretch>
                      <a:fillRect/>
                    </a:stretch>
                  </pic:blipFill>
                  <pic:spPr>
                    <a:xfrm>
                      <a:off x="0" y="0"/>
                      <a:ext cx="5270500" cy="3160395"/>
                    </a:xfrm>
                    <a:prstGeom prst="rect">
                      <a:avLst/>
                    </a:prstGeom>
                  </pic:spPr>
                </pic:pic>
              </a:graphicData>
            </a:graphic>
          </wp:inline>
        </w:drawing>
      </w:r>
    </w:p>
    <w:p w14:paraId="28F8BA0B">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纳税人如需填报“负债清偿损益额”相关信息，则点击数据项下方的【填写明细表】，系统弹出相应界面：</w:t>
      </w:r>
    </w:p>
    <w:p w14:paraId="149AA763">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4310" cy="3111500"/>
            <wp:effectExtent l="0" t="0" r="254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cstate="print"/>
                    <a:stretch>
                      <a:fillRect/>
                    </a:stretch>
                  </pic:blipFill>
                  <pic:spPr>
                    <a:xfrm>
                      <a:off x="0" y="0"/>
                      <a:ext cx="5274310" cy="3111500"/>
                    </a:xfrm>
                    <a:prstGeom prst="rect">
                      <a:avLst/>
                    </a:prstGeom>
                    <a:noFill/>
                    <a:ln>
                      <a:noFill/>
                    </a:ln>
                  </pic:spPr>
                </pic:pic>
              </a:graphicData>
            </a:graphic>
          </wp:inline>
        </w:drawing>
      </w:r>
    </w:p>
    <w:p w14:paraId="18401DCF">
      <w:pPr>
        <w:pStyle w:val="2"/>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纳税人如需填报“清算支出及扣除”相关信息，则点击数据项下方的【填写明细表】，系统弹出相应界面：</w:t>
      </w:r>
    </w:p>
    <w:p w14:paraId="2C1BF599">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8595" cy="6241415"/>
            <wp:effectExtent l="0" t="0" r="8255" b="698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cstate="print"/>
                    <a:stretch>
                      <a:fillRect/>
                    </a:stretch>
                  </pic:blipFill>
                  <pic:spPr>
                    <a:xfrm>
                      <a:off x="0" y="0"/>
                      <a:ext cx="5268595" cy="6241415"/>
                    </a:xfrm>
                    <a:prstGeom prst="rect">
                      <a:avLst/>
                    </a:prstGeom>
                    <a:noFill/>
                    <a:ln>
                      <a:noFill/>
                    </a:ln>
                  </pic:spPr>
                </pic:pic>
              </a:graphicData>
            </a:graphic>
          </wp:inline>
        </w:drawing>
      </w:r>
    </w:p>
    <w:p w14:paraId="72DAF573">
      <w:pPr>
        <w:pStyle w:val="2"/>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纳税人如需填报“剩余财产”相关信息，则点击数据项右边的</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前往计算</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，系统弹出相应界面：</w:t>
      </w:r>
    </w:p>
    <w:p w14:paraId="041B46D1">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00650" cy="5391150"/>
            <wp:effectExtent l="0" t="0" r="0" b="0"/>
            <wp:docPr id="8" name="图片 8" descr="171136872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1368720390"/>
                    <pic:cNvPicPr>
                      <a:picLocks noChangeAspect="1"/>
                    </pic:cNvPicPr>
                  </pic:nvPicPr>
                  <pic:blipFill>
                    <a:blip r:embed="rId9" cstate="print"/>
                    <a:stretch>
                      <a:fillRect/>
                    </a:stretch>
                  </pic:blipFill>
                  <pic:spPr>
                    <a:xfrm>
                      <a:off x="0" y="0"/>
                      <a:ext cx="5200650" cy="5391150"/>
                    </a:xfrm>
                    <a:prstGeom prst="rect">
                      <a:avLst/>
                    </a:prstGeom>
                  </pic:spPr>
                </pic:pic>
              </a:graphicData>
            </a:graphic>
          </wp:inline>
        </w:drawing>
      </w:r>
    </w:p>
    <w:p w14:paraId="368EBC4D">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若纳税人需进入传统申报表填写界面，可点击右上角【我要填表】。数据填写完成后，纳税人可点击【预览表单】对数据进行查看，也可直接点击【提交申报】。</w:t>
      </w:r>
    </w:p>
    <w:p w14:paraId="3357B917">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5274310" cy="2459355"/>
            <wp:effectExtent l="19050" t="0" r="2540" b="0"/>
            <wp:docPr id="13" name="图片 12" descr="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age013.png"/>
                    <pic:cNvPicPr>
                      <a:picLocks noChangeAspect="1"/>
                    </pic:cNvPicPr>
                  </pic:nvPicPr>
                  <pic:blipFill>
                    <a:blip r:embed="rId10"/>
                    <a:stretch>
                      <a:fillRect/>
                    </a:stretch>
                  </pic:blipFill>
                  <pic:spPr>
                    <a:xfrm>
                      <a:off x="0" y="0"/>
                      <a:ext cx="5274310" cy="2459355"/>
                    </a:xfrm>
                    <a:prstGeom prst="rect">
                      <a:avLst/>
                    </a:prstGeom>
                  </pic:spPr>
                </pic:pic>
              </a:graphicData>
            </a:graphic>
          </wp:inline>
        </w:drawing>
      </w:r>
    </w:p>
    <w:p w14:paraId="35294886">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（2）点击【提交申报】按钮后，系统提示是否需要进行风险提示服务。如下图：</w:t>
      </w:r>
    </w:p>
    <w:p w14:paraId="038C4C25">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0500" cy="2866390"/>
            <wp:effectExtent l="0" t="0" r="6350" b="1016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cstate="print"/>
                    <a:stretch>
                      <a:fillRect/>
                    </a:stretch>
                  </pic:blipFill>
                  <pic:spPr>
                    <a:xfrm>
                      <a:off x="0" y="0"/>
                      <a:ext cx="5270500" cy="2866390"/>
                    </a:xfrm>
                    <a:prstGeom prst="rect">
                      <a:avLst/>
                    </a:prstGeom>
                    <a:noFill/>
                    <a:ln>
                      <a:noFill/>
                    </a:ln>
                  </pic:spPr>
                </pic:pic>
              </a:graphicData>
            </a:graphic>
          </wp:inline>
        </w:drawing>
      </w:r>
    </w:p>
    <w:p w14:paraId="285FB7E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纳税人可点击【风险提示服务】按钮进行风险扫描，系统反馈风险扫描结果，纳税人可点击【修改表单】对报表进行修改，也可点击【继续申报】按钮提交申报。如下图：</w:t>
      </w:r>
    </w:p>
    <w:p w14:paraId="1438332E">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526030"/>
            <wp:effectExtent l="0" t="0" r="10795" b="12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cstate="print"/>
                    <a:stretch>
                      <a:fillRect/>
                    </a:stretch>
                  </pic:blipFill>
                  <pic:spPr>
                    <a:xfrm>
                      <a:off x="0" y="0"/>
                      <a:ext cx="5272405" cy="2526030"/>
                    </a:xfrm>
                    <a:prstGeom prst="rect">
                      <a:avLst/>
                    </a:prstGeom>
                    <a:noFill/>
                    <a:ln>
                      <a:noFill/>
                    </a:ln>
                  </pic:spPr>
                </pic:pic>
              </a:graphicData>
            </a:graphic>
          </wp:inline>
        </w:drawing>
      </w:r>
      <w:r>
        <w:rPr>
          <w:rFonts w:hint="eastAsia" w:ascii="宋体" w:hAnsi="宋体" w:eastAsia="宋体" w:cs="宋体"/>
          <w:sz w:val="24"/>
          <w:szCs w:val="24"/>
          <w:highlight w:val="none"/>
        </w:rPr>
        <w:t xml:space="preserve"> 完成申报前纳税人需对填报的信息进行确认。如下图：</w:t>
      </w:r>
    </w:p>
    <w:p w14:paraId="0F94CB6E">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0500" cy="2866390"/>
            <wp:effectExtent l="0" t="0" r="0" b="381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cstate="print"/>
                    <a:stretch>
                      <a:fillRect/>
                    </a:stretch>
                  </pic:blipFill>
                  <pic:spPr>
                    <a:xfrm>
                      <a:off x="0" y="0"/>
                      <a:ext cx="5270500" cy="2866390"/>
                    </a:xfrm>
                    <a:prstGeom prst="rect">
                      <a:avLst/>
                    </a:prstGeom>
                    <a:noFill/>
                    <a:ln>
                      <a:noFill/>
                    </a:ln>
                  </pic:spPr>
                </pic:pic>
              </a:graphicData>
            </a:graphic>
          </wp:inline>
        </w:drawing>
      </w:r>
    </w:p>
    <w:p w14:paraId="0D2C603B">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（3）纳税人申报成功后，可以通过点击【立即缴款】进行税款缴纳。</w:t>
      </w:r>
    </w:p>
    <w:p w14:paraId="6265280F">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9865" cy="2268220"/>
            <wp:effectExtent l="0" t="0" r="6985" b="17780"/>
            <wp:docPr id="3" name="图片 3" descr="171136749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1367499479"/>
                    <pic:cNvPicPr>
                      <a:picLocks noChangeAspect="1"/>
                    </pic:cNvPicPr>
                  </pic:nvPicPr>
                  <pic:blipFill>
                    <a:blip r:embed="rId14" cstate="print"/>
                    <a:stretch>
                      <a:fillRect/>
                    </a:stretch>
                  </pic:blipFill>
                  <pic:spPr>
                    <a:xfrm>
                      <a:off x="0" y="0"/>
                      <a:ext cx="5269865" cy="2268220"/>
                    </a:xfrm>
                    <a:prstGeom prst="rect">
                      <a:avLst/>
                    </a:prstGeom>
                  </pic:spPr>
                </pic:pic>
              </a:graphicData>
            </a:graphic>
          </wp:inline>
        </w:drawing>
      </w:r>
    </w:p>
    <w:p w14:paraId="4BBF3E7D">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3.更正与作废</w:t>
      </w:r>
    </w:p>
    <w:p w14:paraId="030D6677">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企业完成清算企业所得税申报后，如需要作废清算申报表或者更正清算申报表的，进入【申报更正与作废】模块进行作废或者更正。</w:t>
      </w:r>
    </w:p>
    <w:p w14:paraId="58A9F285">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1770" cy="1249680"/>
            <wp:effectExtent l="0" t="0" r="5080" b="7620"/>
            <wp:docPr id="4" name="图片 4" descr="171136762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1367623019"/>
                    <pic:cNvPicPr>
                      <a:picLocks noChangeAspect="1"/>
                    </pic:cNvPicPr>
                  </pic:nvPicPr>
                  <pic:blipFill>
                    <a:blip r:embed="rId15" cstate="print"/>
                    <a:stretch>
                      <a:fillRect/>
                    </a:stretch>
                  </pic:blipFill>
                  <pic:spPr>
                    <a:xfrm>
                      <a:off x="0" y="0"/>
                      <a:ext cx="5271770" cy="1249680"/>
                    </a:xfrm>
                    <a:prstGeom prst="rect">
                      <a:avLst/>
                    </a:prstGeom>
                  </pic:spPr>
                </pic:pic>
              </a:graphicData>
            </a:graphic>
          </wp:inline>
        </w:drawing>
      </w:r>
    </w:p>
    <w:p w14:paraId="3AF63D16">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报送资料</w:t>
      </w:r>
    </w:p>
    <w:tbl>
      <w:tblPr>
        <w:tblStyle w:val="10"/>
        <w:tblW w:w="87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5"/>
        <w:gridCol w:w="4356"/>
        <w:gridCol w:w="608"/>
        <w:gridCol w:w="652"/>
        <w:gridCol w:w="584"/>
        <w:gridCol w:w="638"/>
        <w:gridCol w:w="624"/>
        <w:gridCol w:w="715"/>
      </w:tblGrid>
      <w:tr w14:paraId="6D98E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shd w:val="clear" w:color="auto" w:fill="BFBFBF"/>
            <w:vAlign w:val="center"/>
          </w:tcPr>
          <w:p w14:paraId="4B1B8E8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356" w:type="dxa"/>
            <w:shd w:val="clear" w:color="auto" w:fill="BFBFBF"/>
            <w:vAlign w:val="center"/>
          </w:tcPr>
          <w:p w14:paraId="7A869F2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资料名称</w:t>
            </w:r>
          </w:p>
        </w:tc>
        <w:tc>
          <w:tcPr>
            <w:tcW w:w="608" w:type="dxa"/>
            <w:shd w:val="clear" w:color="auto" w:fill="BFBFBF"/>
            <w:vAlign w:val="center"/>
          </w:tcPr>
          <w:p w14:paraId="04437F4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必报</w:t>
            </w:r>
          </w:p>
        </w:tc>
        <w:tc>
          <w:tcPr>
            <w:tcW w:w="652" w:type="dxa"/>
            <w:shd w:val="clear" w:color="auto" w:fill="BFBFBF"/>
            <w:vAlign w:val="center"/>
          </w:tcPr>
          <w:p w14:paraId="0C8FF4E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条件报送</w:t>
            </w:r>
          </w:p>
        </w:tc>
        <w:tc>
          <w:tcPr>
            <w:tcW w:w="584" w:type="dxa"/>
            <w:shd w:val="clear" w:color="auto" w:fill="BFBFBF"/>
            <w:vAlign w:val="center"/>
          </w:tcPr>
          <w:p w14:paraId="6534290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归档</w:t>
            </w:r>
          </w:p>
        </w:tc>
        <w:tc>
          <w:tcPr>
            <w:tcW w:w="638" w:type="dxa"/>
            <w:shd w:val="clear" w:color="auto" w:fill="BFBFBF"/>
            <w:vAlign w:val="center"/>
          </w:tcPr>
          <w:p w14:paraId="515746D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查验</w:t>
            </w:r>
          </w:p>
        </w:tc>
        <w:tc>
          <w:tcPr>
            <w:tcW w:w="624" w:type="dxa"/>
            <w:shd w:val="clear" w:color="auto" w:fill="BFBFBF"/>
            <w:vAlign w:val="center"/>
          </w:tcPr>
          <w:p w14:paraId="72BE15F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容缺报送</w:t>
            </w:r>
          </w:p>
        </w:tc>
        <w:tc>
          <w:tcPr>
            <w:tcW w:w="715" w:type="dxa"/>
            <w:shd w:val="clear" w:color="auto" w:fill="BFBFBF"/>
            <w:vAlign w:val="center"/>
          </w:tcPr>
          <w:p w14:paraId="0B00FAC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留存备查</w:t>
            </w:r>
          </w:p>
        </w:tc>
      </w:tr>
      <w:tr w14:paraId="29A7F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128896F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4356" w:type="dxa"/>
          </w:tcPr>
          <w:p w14:paraId="7D115D14">
            <w:pPr>
              <w:pStyle w:val="2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《中华人民共和国企业清算所得税申报表》</w:t>
            </w:r>
          </w:p>
        </w:tc>
        <w:tc>
          <w:tcPr>
            <w:tcW w:w="608" w:type="dxa"/>
          </w:tcPr>
          <w:p w14:paraId="626E51A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p>
        </w:tc>
        <w:tc>
          <w:tcPr>
            <w:tcW w:w="652" w:type="dxa"/>
          </w:tcPr>
          <w:p w14:paraId="1D2961B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584" w:type="dxa"/>
          </w:tcPr>
          <w:p w14:paraId="3CE4D9B8">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p>
        </w:tc>
        <w:tc>
          <w:tcPr>
            <w:tcW w:w="638" w:type="dxa"/>
          </w:tcPr>
          <w:p w14:paraId="2239BA7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7F8FC90D">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715" w:type="dxa"/>
          </w:tcPr>
          <w:p w14:paraId="30D07FE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7A8E1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5E72F6F4">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4356" w:type="dxa"/>
          </w:tcPr>
          <w:p w14:paraId="45BADFC8">
            <w:pPr>
              <w:pStyle w:val="2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《资产处置损益明细表》</w:t>
            </w:r>
          </w:p>
        </w:tc>
        <w:tc>
          <w:tcPr>
            <w:tcW w:w="608" w:type="dxa"/>
          </w:tcPr>
          <w:p w14:paraId="7A613034">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52" w:type="dxa"/>
          </w:tcPr>
          <w:p w14:paraId="0A1FBE25">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584" w:type="dxa"/>
          </w:tcPr>
          <w:p w14:paraId="06DF849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286DF0A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55340BD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715" w:type="dxa"/>
          </w:tcPr>
          <w:p w14:paraId="7B5CEDE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3005A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43D2FF1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4356" w:type="dxa"/>
          </w:tcPr>
          <w:p w14:paraId="0EC27E63">
            <w:pPr>
              <w:pStyle w:val="2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《负债清偿损益明细表》</w:t>
            </w:r>
          </w:p>
        </w:tc>
        <w:tc>
          <w:tcPr>
            <w:tcW w:w="608" w:type="dxa"/>
          </w:tcPr>
          <w:p w14:paraId="3C5DAA6F">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52" w:type="dxa"/>
          </w:tcPr>
          <w:p w14:paraId="5EFF5EF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584" w:type="dxa"/>
          </w:tcPr>
          <w:p w14:paraId="484217DF">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1758488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10116353">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715" w:type="dxa"/>
          </w:tcPr>
          <w:p w14:paraId="278D478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325C2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6A5CA23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4356" w:type="dxa"/>
          </w:tcPr>
          <w:p w14:paraId="724DA3FF">
            <w:pPr>
              <w:pStyle w:val="2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《剩余财产计算和分配明细表》</w:t>
            </w:r>
          </w:p>
        </w:tc>
        <w:tc>
          <w:tcPr>
            <w:tcW w:w="608" w:type="dxa"/>
          </w:tcPr>
          <w:p w14:paraId="0BD17C5B">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52" w:type="dxa"/>
          </w:tcPr>
          <w:p w14:paraId="58BAB3C8">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584" w:type="dxa"/>
          </w:tcPr>
          <w:p w14:paraId="100AF4F3">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299C620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41DF39BE">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715" w:type="dxa"/>
          </w:tcPr>
          <w:p w14:paraId="2DA1F4D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277CD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36B9075F">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w:t>
            </w:r>
          </w:p>
        </w:tc>
        <w:tc>
          <w:tcPr>
            <w:tcW w:w="4356" w:type="dxa"/>
            <w:vAlign w:val="center"/>
          </w:tcPr>
          <w:p w14:paraId="51735609">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企业改变法律形式的市场监督管理部门或其他政府部门的批准文件复印件</w:t>
            </w:r>
          </w:p>
        </w:tc>
        <w:tc>
          <w:tcPr>
            <w:tcW w:w="608" w:type="dxa"/>
          </w:tcPr>
          <w:p w14:paraId="205B8278">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2707D36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p>
        </w:tc>
        <w:tc>
          <w:tcPr>
            <w:tcW w:w="584" w:type="dxa"/>
          </w:tcPr>
          <w:p w14:paraId="2DE15D6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p>
        </w:tc>
        <w:tc>
          <w:tcPr>
            <w:tcW w:w="638" w:type="dxa"/>
          </w:tcPr>
          <w:p w14:paraId="7F07AA7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0C117E12">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715" w:type="dxa"/>
          </w:tcPr>
          <w:p w14:paraId="606B96D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1671B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2BCC314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4356" w:type="dxa"/>
            <w:vAlign w:val="center"/>
          </w:tcPr>
          <w:p w14:paraId="42885C24">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企业全部资产的计税基础以及评估机构出具的资产评估报告复印件</w:t>
            </w:r>
          </w:p>
        </w:tc>
        <w:tc>
          <w:tcPr>
            <w:tcW w:w="608" w:type="dxa"/>
          </w:tcPr>
          <w:p w14:paraId="5492B9A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03790A9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1D4E4366">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73A7B24D">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1A3912C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172E622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631D3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2153B601">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4356" w:type="dxa"/>
            <w:vAlign w:val="center"/>
          </w:tcPr>
          <w:p w14:paraId="124D27BC">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企业债权、债务处理或归属情况说明复印件</w:t>
            </w:r>
          </w:p>
        </w:tc>
        <w:tc>
          <w:tcPr>
            <w:tcW w:w="608" w:type="dxa"/>
          </w:tcPr>
          <w:p w14:paraId="2EA22E08">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1055392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5F88556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366EC21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269E019B">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77FD1C43">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0ED78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360083AB">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4356" w:type="dxa"/>
            <w:vAlign w:val="center"/>
          </w:tcPr>
          <w:p w14:paraId="4CDE1693">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企业合并的市场监督管理部门或其他政府部门的批准文件复印件</w:t>
            </w:r>
          </w:p>
        </w:tc>
        <w:tc>
          <w:tcPr>
            <w:tcW w:w="608" w:type="dxa"/>
          </w:tcPr>
          <w:p w14:paraId="3E97C3F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63999635">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12D77705">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57DA0161">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43FDCF4D">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599AD79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303D3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23A0EBF5">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4356" w:type="dxa"/>
            <w:vAlign w:val="center"/>
          </w:tcPr>
          <w:p w14:paraId="08A00CB2">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企业全部资产和负债的计税基础以及评估机构出具的资产评估报告复印件</w:t>
            </w:r>
          </w:p>
        </w:tc>
        <w:tc>
          <w:tcPr>
            <w:tcW w:w="608" w:type="dxa"/>
          </w:tcPr>
          <w:p w14:paraId="5317B59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492DFB45">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06E8D1DB">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120DA7A2">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4E989C6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35F6499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00D21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6B413E61">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4356" w:type="dxa"/>
            <w:vAlign w:val="center"/>
          </w:tcPr>
          <w:p w14:paraId="50FCF049">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被合并企业债务处理或归属情况说明复印件</w:t>
            </w:r>
          </w:p>
        </w:tc>
        <w:tc>
          <w:tcPr>
            <w:tcW w:w="608" w:type="dxa"/>
          </w:tcPr>
          <w:p w14:paraId="0333D5F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7B33158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754609C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02E17C1B">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2A8ADEBE">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25F4481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6960A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54D8BC74">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4356" w:type="dxa"/>
            <w:vAlign w:val="center"/>
          </w:tcPr>
          <w:p w14:paraId="241F3327">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企业分立的市场监督管理部门或其他政府部门的批准文件复印件</w:t>
            </w:r>
          </w:p>
        </w:tc>
        <w:tc>
          <w:tcPr>
            <w:tcW w:w="608" w:type="dxa"/>
          </w:tcPr>
          <w:p w14:paraId="62E4CF1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62F595F6">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6A77C523">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16C29A43">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279E0C6D">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4EC75F6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3317B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228A9AAF">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4356" w:type="dxa"/>
            <w:vAlign w:val="center"/>
          </w:tcPr>
          <w:p w14:paraId="2FAA48FB">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被分立企业全部资产的计税基础以及评估机构出具的资产评估报告复印件</w:t>
            </w:r>
          </w:p>
        </w:tc>
        <w:tc>
          <w:tcPr>
            <w:tcW w:w="608" w:type="dxa"/>
          </w:tcPr>
          <w:p w14:paraId="33F4DB6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1558677A">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572F1950">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62F7450B">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7176867A">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5EBFF94D">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12BEC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20D877FC">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4356" w:type="dxa"/>
            <w:vAlign w:val="center"/>
          </w:tcPr>
          <w:p w14:paraId="03AA6859">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被分立企业债务处理或归属情况说明复印件</w:t>
            </w:r>
          </w:p>
        </w:tc>
        <w:tc>
          <w:tcPr>
            <w:tcW w:w="608" w:type="dxa"/>
          </w:tcPr>
          <w:p w14:paraId="26ABCA0F">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01364FDF">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1F9EEAE2">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638" w:type="dxa"/>
          </w:tcPr>
          <w:p w14:paraId="16D9708F">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7194C6BF">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7BE080FE">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r w14:paraId="4A66E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tcPr>
          <w:p w14:paraId="561C666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4356" w:type="dxa"/>
            <w:vAlign w:val="center"/>
          </w:tcPr>
          <w:p w14:paraId="5A20208A">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shd w:val="clear" w:color="auto" w:fill="FFFFFF"/>
              </w:rPr>
              <w:t>主管税务机关要求提供的其他资料证明。</w:t>
            </w:r>
          </w:p>
        </w:tc>
        <w:tc>
          <w:tcPr>
            <w:tcW w:w="608" w:type="dxa"/>
          </w:tcPr>
          <w:p w14:paraId="3E9A2886">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52" w:type="dxa"/>
          </w:tcPr>
          <w:p w14:paraId="64D892A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584" w:type="dxa"/>
          </w:tcPr>
          <w:p w14:paraId="017FAE49">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w:t>
            </w:r>
          </w:p>
        </w:tc>
        <w:tc>
          <w:tcPr>
            <w:tcW w:w="638" w:type="dxa"/>
          </w:tcPr>
          <w:p w14:paraId="2547E017">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c>
          <w:tcPr>
            <w:tcW w:w="624" w:type="dxa"/>
          </w:tcPr>
          <w:p w14:paraId="01DCC06B">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sz w:val="24"/>
                <w:szCs w:val="24"/>
                <w:highlight w:val="none"/>
              </w:rPr>
            </w:pPr>
          </w:p>
        </w:tc>
        <w:tc>
          <w:tcPr>
            <w:tcW w:w="715" w:type="dxa"/>
          </w:tcPr>
          <w:p w14:paraId="65BD4632">
            <w:pPr>
              <w:pStyle w:val="19"/>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tc>
      </w:tr>
    </w:tbl>
    <w:p w14:paraId="0FF47AF7">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、注意事项</w:t>
      </w:r>
    </w:p>
    <w:p w14:paraId="6C610E5F">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1.纳税人对报送材料的真实性和合法性承担责任。</w:t>
      </w:r>
    </w:p>
    <w:p w14:paraId="6261B8B5">
      <w:pPr>
        <w:pStyle w:val="13"/>
        <w:pageBreakBefore w:val="0"/>
        <w:kinsoku/>
        <w:wordWrap/>
        <w:overflowPunct/>
        <w:topLinePunct w:val="0"/>
        <w:autoSpaceDE/>
        <w:autoSpaceDN/>
        <w:bidi w:val="0"/>
        <w:adjustRightInd/>
        <w:snapToGrid/>
        <w:spacing w:before="157" w:beforeLines="50" w:after="157" w:afterLines="50" w:line="360" w:lineRule="auto"/>
        <w:ind w:firstLine="640"/>
        <w:textAlignment w:val="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2"/>
          <w:sz w:val="24"/>
          <w:szCs w:val="24"/>
          <w:highlight w:val="none"/>
        </w:rPr>
        <w:t>办理清算企业所得税申报业务的纳税人，可信身份等级须在三级及以上。</w:t>
      </w:r>
    </w:p>
    <w:p w14:paraId="28451F4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进入清算期的纳税人应对清算事项，报主管税务机关备案。若纳税人在清算结束起15日内未进行企业所得税申报，申报成功后将自动触发违法违章处理登记。完成清算企业所得税申报后，可继续办理注销登记或清税申报等事宜。</w:t>
      </w:r>
    </w:p>
    <w:bookmarkEnd w:id="0"/>
    <w:p w14:paraId="6D388DAA">
      <w:pPr>
        <w:pStyle w:val="2"/>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7992"/>
    <w:multiLevelType w:val="singleLevel"/>
    <w:tmpl w:val="B6537992"/>
    <w:lvl w:ilvl="0" w:tentative="0">
      <w:start w:val="1"/>
      <w:numFmt w:val="decimal"/>
      <w:suff w:val="nothing"/>
      <w:lvlText w:val="（%1）"/>
      <w:lvlJc w:val="left"/>
    </w:lvl>
  </w:abstractNum>
  <w:abstractNum w:abstractNumId="1">
    <w:nsid w:val="BA20056B"/>
    <w:multiLevelType w:val="singleLevel"/>
    <w:tmpl w:val="BA20056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zI4ZWE2YWFkODA1YzI5MjcwMzNkMTY5ZGQ3NTcifQ=="/>
  </w:docVars>
  <w:rsids>
    <w:rsidRoot w:val="00921741"/>
    <w:rsid w:val="00113334"/>
    <w:rsid w:val="001D7696"/>
    <w:rsid w:val="00921741"/>
    <w:rsid w:val="00B74D04"/>
    <w:rsid w:val="00DC732F"/>
    <w:rsid w:val="03FD2724"/>
    <w:rsid w:val="127077E5"/>
    <w:rsid w:val="1AAE5521"/>
    <w:rsid w:val="2DF23B3A"/>
    <w:rsid w:val="2F3740A7"/>
    <w:rsid w:val="3067225E"/>
    <w:rsid w:val="31E2196B"/>
    <w:rsid w:val="35B013B9"/>
    <w:rsid w:val="428B75D5"/>
    <w:rsid w:val="45B919C6"/>
    <w:rsid w:val="474D0367"/>
    <w:rsid w:val="4D19484A"/>
    <w:rsid w:val="5A8A6422"/>
    <w:rsid w:val="658D21DE"/>
    <w:rsid w:val="75912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outlineLvl w:val="1"/>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Calibri"/>
      <w:szCs w:val="21"/>
    </w:rPr>
  </w:style>
  <w:style w:type="paragraph" w:styleId="5">
    <w:name w:val="annotation text"/>
    <w:basedOn w:val="1"/>
    <w:link w:val="15"/>
    <w:qFormat/>
    <w:uiPriority w:val="0"/>
    <w:pPr>
      <w:jc w:val="left"/>
    </w:pPr>
  </w:style>
  <w:style w:type="paragraph" w:styleId="6">
    <w:name w:val="Balloon Text"/>
    <w:basedOn w:val="1"/>
    <w:link w:val="14"/>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6"/>
    <w:qFormat/>
    <w:uiPriority w:val="0"/>
    <w:rPr>
      <w:b/>
      <w:bCs/>
    </w:rPr>
  </w:style>
  <w:style w:type="character" w:styleId="12">
    <w:name w:val="annotation reference"/>
    <w:basedOn w:val="11"/>
    <w:qFormat/>
    <w:uiPriority w:val="0"/>
    <w:rPr>
      <w:sz w:val="21"/>
      <w:szCs w:val="21"/>
    </w:rPr>
  </w:style>
  <w:style w:type="paragraph" w:customStyle="1" w:styleId="13">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character" w:customStyle="1" w:styleId="14">
    <w:name w:val="批注框文本 Char"/>
    <w:basedOn w:val="11"/>
    <w:link w:val="6"/>
    <w:qFormat/>
    <w:uiPriority w:val="0"/>
    <w:rPr>
      <w:kern w:val="2"/>
      <w:sz w:val="18"/>
      <w:szCs w:val="18"/>
    </w:rPr>
  </w:style>
  <w:style w:type="character" w:customStyle="1" w:styleId="15">
    <w:name w:val="批注文字 Char"/>
    <w:basedOn w:val="11"/>
    <w:link w:val="5"/>
    <w:qFormat/>
    <w:uiPriority w:val="0"/>
    <w:rPr>
      <w:kern w:val="2"/>
      <w:sz w:val="21"/>
      <w:szCs w:val="24"/>
    </w:rPr>
  </w:style>
  <w:style w:type="character" w:customStyle="1" w:styleId="16">
    <w:name w:val="批注主题 Char"/>
    <w:basedOn w:val="15"/>
    <w:link w:val="9"/>
    <w:qFormat/>
    <w:uiPriority w:val="0"/>
    <w:rPr>
      <w:b/>
      <w:bCs/>
    </w:rPr>
  </w:style>
  <w:style w:type="paragraph" w:customStyle="1" w:styleId="17">
    <w:name w:val="正文1"/>
    <w:qFormat/>
    <w:uiPriority w:val="0"/>
    <w:pPr>
      <w:jc w:val="both"/>
    </w:pPr>
    <w:rPr>
      <w:rFonts w:ascii="Calibri" w:hAnsi="Calibri" w:eastAsia="宋体" w:cs="宋体"/>
      <w:kern w:val="2"/>
      <w:sz w:val="21"/>
      <w:szCs w:val="21"/>
      <w:lang w:val="en-US" w:eastAsia="zh-CN" w:bidi="ar-SA"/>
    </w:rPr>
  </w:style>
  <w:style w:type="paragraph" w:customStyle="1" w:styleId="18">
    <w:name w:val="表格列标题"/>
    <w:basedOn w:val="17"/>
    <w:qFormat/>
    <w:uiPriority w:val="0"/>
    <w:pPr>
      <w:jc w:val="center"/>
    </w:pPr>
    <w:rPr>
      <w:rFonts w:ascii="Arial" w:hAnsi="Arial" w:cs="Arial"/>
      <w:b/>
      <w:sz w:val="18"/>
    </w:rPr>
  </w:style>
  <w:style w:type="paragraph" w:customStyle="1" w:styleId="19">
    <w:name w:val="表格文字 居中"/>
    <w:basedOn w:val="17"/>
    <w:qFormat/>
    <w:uiPriority w:val="0"/>
    <w:pPr>
      <w:jc w:val="center"/>
    </w:pPr>
    <w:rPr>
      <w:rFonts w:ascii="Arial" w:hAnsi="Arial" w:cs="Arial"/>
      <w:sz w:val="18"/>
    </w:rPr>
  </w:style>
  <w:style w:type="paragraph" w:customStyle="1" w:styleId="20">
    <w:name w:val="表格文字 左对齐"/>
    <w:basedOn w:val="21"/>
    <w:qFormat/>
    <w:uiPriority w:val="0"/>
    <w:rPr>
      <w:rFonts w:ascii="Arial" w:hAnsi="Arial" w:cs="Arial"/>
      <w:sz w:val="18"/>
    </w:rPr>
  </w:style>
  <w:style w:type="paragraph" w:customStyle="1" w:styleId="21">
    <w:name w:val="正文_1"/>
    <w:qFormat/>
    <w:uiPriority w:val="0"/>
    <w:rPr>
      <w:rFonts w:ascii="Times New Roman" w:hAnsi="Times New Roman" w:eastAsia="Times New Roman" w:cs="Times New Roman"/>
      <w:sz w:val="24"/>
      <w:szCs w:val="24"/>
      <w:lang w:val="en-US" w:eastAsia="zh-CN" w:bidi="ar-SA"/>
    </w:rPr>
  </w:style>
  <w:style w:type="character" w:customStyle="1" w:styleId="22">
    <w:name w:val="页眉 Char"/>
    <w:basedOn w:val="11"/>
    <w:link w:val="8"/>
    <w:qFormat/>
    <w:uiPriority w:val="0"/>
    <w:rPr>
      <w:kern w:val="2"/>
      <w:sz w:val="18"/>
      <w:szCs w:val="18"/>
    </w:rPr>
  </w:style>
  <w:style w:type="character" w:customStyle="1" w:styleId="23">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1765</Words>
  <Characters>1795</Characters>
  <Lines>19</Lines>
  <Paragraphs>5</Paragraphs>
  <TotalTime>11</TotalTime>
  <ScaleCrop>false</ScaleCrop>
  <LinksUpToDate>false</LinksUpToDate>
  <CharactersWithSpaces>1798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2024-06-14T08:09:00Z</dcterms:created>
  <dc:creator>wangqian</dc:creator>
  <cp:lastModifiedBy>默默</cp:lastModifiedBy>
  <dcterms:modified xsi:type="dcterms:W3CDTF">2025-07-08T07:07:03Z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EAA8889C302741D982024FCCD4C873FA_13</vt:lpwstr>
  </property>
  <property fmtid="{D5CDD505-2E9C-101B-9397-08002B2CF9AE}" pid="4" name="KSOTemplateDocerSaveRecord">
    <vt:lpwstr>eyJoZGlkIjoiYWI0MTczMTlmZGQwMDlkNjE0Y2E2NDViNmNjNWY1ZmYiLCJ1c2VySWQiOiI3MzkzMzY4MTcifQ==</vt:lpwstr>
  </property>
</Properties>
</file>