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415F">
      <w:pPr>
        <w:pStyle w:val="2"/>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股权激励情况报告——300</w:t>
      </w:r>
    </w:p>
    <w:p w14:paraId="1F268A18">
      <w:pPr>
        <w:pStyle w:val="2"/>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p>
    <w:p w14:paraId="72DA7158">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182D417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实施股权（股票，下同）激励的企业应当在决定实施股权激励的次月15日内，向主管税务机关报送《股权激励情况报告表》</w:t>
      </w:r>
      <w:r>
        <w:rPr>
          <w:rFonts w:hint="eastAsia" w:ascii="宋体" w:hAnsi="宋体" w:eastAsia="宋体" w:cs="宋体"/>
          <w:bCs/>
          <w:sz w:val="24"/>
          <w:szCs w:val="24"/>
          <w:highlight w:val="none"/>
          <w:lang w:val="en-US" w:eastAsia="zh-CN"/>
        </w:rPr>
        <w:t>。</w:t>
      </w:r>
    </w:p>
    <w:p w14:paraId="4261F933">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股权激励计划已实施但尚未执行完毕的，于2021年底前向主管税务机关补充报送《股权激励情况报告表》和相关资料。</w:t>
      </w:r>
    </w:p>
    <w:p w14:paraId="4AB348A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2B769631">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《财政部 国家税务总局关于个人股票期权所得征收个人所得税问题的通知》（</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"https://ssfb86.com/index/News/detail/newsid/3374.html" </w:instrText>
      </w:r>
      <w:r>
        <w:rPr>
          <w:rFonts w:hint="eastAsia" w:ascii="宋体" w:hAnsi="宋体" w:eastAsia="宋体" w:cs="宋体"/>
          <w:sz w:val="24"/>
          <w:szCs w:val="24"/>
          <w:highlight w:val="none"/>
        </w:rPr>
        <w:fldChar w:fldCharType="separate"/>
      </w:r>
      <w:r>
        <w:rPr>
          <w:rStyle w:val="9"/>
          <w:rFonts w:hint="eastAsia" w:ascii="宋体" w:hAnsi="宋体" w:eastAsia="宋体" w:cs="宋体"/>
          <w:sz w:val="24"/>
          <w:szCs w:val="24"/>
          <w:highlight w:val="none"/>
        </w:rPr>
        <w:t>财税〔2005〕35号</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73908DC8">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（二）《关于股权激励有关个人所得税问题的通知》（</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"https://ssfb86.com/index/News/detail/newsid/2086.html" </w:instrText>
      </w:r>
      <w:r>
        <w:rPr>
          <w:rFonts w:hint="eastAsia" w:ascii="宋体" w:hAnsi="宋体" w:eastAsia="宋体" w:cs="宋体"/>
          <w:sz w:val="24"/>
          <w:szCs w:val="24"/>
          <w:highlight w:val="none"/>
          <w:lang w:val="en-US" w:eastAsia="zh-CN"/>
        </w:rPr>
        <w:fldChar w:fldCharType="separate"/>
      </w:r>
      <w:r>
        <w:rPr>
          <w:rStyle w:val="8"/>
          <w:rFonts w:hint="eastAsia" w:ascii="宋体" w:hAnsi="宋体" w:eastAsia="宋体" w:cs="宋体"/>
          <w:sz w:val="24"/>
          <w:szCs w:val="24"/>
          <w:highlight w:val="none"/>
          <w:lang w:val="en-US" w:eastAsia="zh-CN"/>
        </w:rPr>
        <w:t>国税函〔2009〕461号</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）等。</w:t>
      </w:r>
    </w:p>
    <w:p w14:paraId="0B9F6BC8">
      <w:pPr>
        <w:pStyle w:val="2"/>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（三）《关于完善股权激励和技术入股有关所得税政策的通知》（</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"https://ssfb86.com/index/News/detail/newsid/661.html" </w:instrText>
      </w:r>
      <w:r>
        <w:rPr>
          <w:rFonts w:hint="eastAsia" w:ascii="宋体" w:hAnsi="宋体" w:cs="宋体"/>
          <w:sz w:val="24"/>
          <w:szCs w:val="24"/>
          <w:highlight w:val="none"/>
          <w:lang w:val="en-US" w:eastAsia="zh-CN"/>
        </w:rPr>
        <w:fldChar w:fldCharType="separate"/>
      </w:r>
      <w:r>
        <w:rPr>
          <w:rStyle w:val="8"/>
          <w:rFonts w:hint="eastAsia" w:ascii="宋体" w:hAnsi="宋体" w:cs="宋体"/>
          <w:sz w:val="24"/>
          <w:szCs w:val="24"/>
          <w:highlight w:val="none"/>
          <w:lang w:val="en-US" w:eastAsia="zh-CN"/>
        </w:rPr>
        <w:t>财税〔2016〕101号</w:t>
      </w:r>
      <w:r>
        <w:rPr>
          <w:rFonts w:hint="eastAsia" w:ascii="宋体" w:hAnsi="宋体" w:cs="宋体"/>
          <w:sz w:val="24"/>
          <w:szCs w:val="24"/>
          <w:highlight w:val="none"/>
          <w:lang w:val="en-US" w:eastAsia="zh-CN"/>
        </w:rPr>
        <w:fldChar w:fldCharType="end"/>
      </w:r>
      <w:r>
        <w:rPr>
          <w:rFonts w:hint="eastAsia" w:ascii="宋体" w:hAnsi="宋体" w:cs="宋体"/>
          <w:sz w:val="24"/>
          <w:szCs w:val="24"/>
          <w:highlight w:val="none"/>
          <w:lang w:val="en-US" w:eastAsia="zh-CN"/>
        </w:rPr>
        <w:t>）</w:t>
      </w:r>
    </w:p>
    <w:p w14:paraId="67AF1F1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《国家税务总局关于进一步深化税务领域“放管服”改革培育和激发市场主体活力若干措施的通知》（</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"https://ssfb86.com/index/News/detail/newsid/9726.html" </w:instrText>
      </w:r>
      <w:r>
        <w:rPr>
          <w:rFonts w:hint="eastAsia" w:ascii="宋体" w:hAnsi="宋体" w:eastAsia="宋体" w:cs="宋体"/>
          <w:sz w:val="24"/>
          <w:szCs w:val="24"/>
          <w:highlight w:val="none"/>
        </w:rPr>
        <w:fldChar w:fldCharType="separate"/>
      </w:r>
      <w:r>
        <w:rPr>
          <w:rStyle w:val="9"/>
          <w:rFonts w:hint="eastAsia" w:ascii="宋体" w:hAnsi="宋体" w:eastAsia="宋体" w:cs="宋体"/>
          <w:sz w:val="24"/>
          <w:szCs w:val="24"/>
          <w:highlight w:val="none"/>
        </w:rPr>
        <w:t>税总征科发〔2021〕69号</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t>）</w:t>
      </w:r>
    </w:p>
    <w:p w14:paraId="36454CD6">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4.《财政部 税务总局关于延续实施上市公司股权激励有关个人所得税政策的公告》（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"https://ssfb86.com/index/News/detail/newsid/13188.html"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财政部 税务总局公告2023年第25号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0449A6CD">
      <w:pPr>
        <w:pageBreakBefore w:val="0"/>
        <w:kinsoku/>
        <w:wordWrap/>
        <w:bidi w:val="0"/>
        <w:snapToGrid/>
        <w:spacing w:before="157" w:beforeLines="50" w:after="120"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bCs/>
          <w:sz w:val="24"/>
          <w:szCs w:val="24"/>
          <w:highlight w:val="none"/>
        </w:rPr>
        <w:t>5. 《财政部 税务总局关于上市公司股权激励有关个人所得税政策的公告》</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"https://ssfb86.com/index/News/detail/newsid/14603.html" </w:instrText>
      </w:r>
      <w:r>
        <w:rPr>
          <w:rFonts w:hint="eastAsia" w:ascii="宋体" w:hAnsi="宋体" w:eastAsia="宋体" w:cs="宋体"/>
          <w:sz w:val="24"/>
          <w:szCs w:val="24"/>
          <w:highlight w:val="none"/>
        </w:rPr>
        <w:fldChar w:fldCharType="separate"/>
      </w:r>
      <w:r>
        <w:rPr>
          <w:rStyle w:val="9"/>
          <w:rFonts w:hint="eastAsia" w:ascii="宋体" w:hAnsi="宋体" w:eastAsia="宋体" w:cs="宋体"/>
          <w:sz w:val="24"/>
          <w:szCs w:val="24"/>
          <w:highlight w:val="none"/>
        </w:rPr>
        <w:t>财税〔2024〕2号</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B74196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7A39BFCF">
      <w:pPr>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微软雅黑" w:hAnsi="微软雅黑" w:eastAsia="微软雅黑" w:cs="微软雅黑"/>
          <w:i w:val="0"/>
          <w:iCs w:val="0"/>
          <w:caps w:val="0"/>
          <w:color w:val="0050AC"/>
          <w:spacing w:val="0"/>
          <w:sz w:val="21"/>
          <w:szCs w:val="21"/>
          <w:highlight w:val="none"/>
          <w:u w:val="none"/>
          <w:shd w:val="clear" w:fill="FFFFFF"/>
        </w:rPr>
        <w:fldChar w:fldCharType="begin"/>
      </w:r>
      <w:r>
        <w:rPr>
          <w:rFonts w:hint="eastAsia" w:ascii="微软雅黑" w:hAnsi="微软雅黑" w:eastAsia="微软雅黑" w:cs="微软雅黑"/>
          <w:i w:val="0"/>
          <w:iCs w:val="0"/>
          <w:caps w:val="0"/>
          <w:color w:val="0050AC"/>
          <w:spacing w:val="0"/>
          <w:sz w:val="21"/>
          <w:szCs w:val="21"/>
          <w:highlight w:val="none"/>
          <w:u w:val="none"/>
          <w:shd w:val="clear" w:fill="FFFFFF"/>
        </w:rPr>
        <w:instrText xml:space="preserve"> HYPERLINK "https://fgk.chinatax.gov.cn/zcfgk/c102424/c5216032/5216032/files/XNs0eRfZ.pdf" \t "https://fgk.chinatax.gov.cn/zcfgk/c102424/c5216032/_blank" </w:instrText>
      </w:r>
      <w:r>
        <w:rPr>
          <w:rFonts w:hint="eastAsia" w:ascii="微软雅黑" w:hAnsi="微软雅黑" w:eastAsia="微软雅黑" w:cs="微软雅黑"/>
          <w:i w:val="0"/>
          <w:iCs w:val="0"/>
          <w:caps w:val="0"/>
          <w:color w:val="0050AC"/>
          <w:spacing w:val="0"/>
          <w:sz w:val="21"/>
          <w:szCs w:val="21"/>
          <w:highlight w:val="none"/>
          <w:u w:val="none"/>
          <w:shd w:val="clear" w:fill="FFFFFF"/>
        </w:rPr>
        <w:fldChar w:fldCharType="separate"/>
      </w:r>
      <w:r>
        <w:rPr>
          <w:rStyle w:val="8"/>
          <w:rFonts w:hint="eastAsia" w:ascii="微软雅黑" w:hAnsi="微软雅黑" w:eastAsia="微软雅黑" w:cs="微软雅黑"/>
          <w:i w:val="0"/>
          <w:iCs w:val="0"/>
          <w:caps w:val="0"/>
          <w:color w:val="0050AC"/>
          <w:spacing w:val="0"/>
          <w:sz w:val="21"/>
          <w:szCs w:val="21"/>
          <w:highlight w:val="none"/>
          <w:u w:val="none"/>
          <w:shd w:val="clear" w:fill="FFFFFF"/>
        </w:rPr>
        <w:t>股权激励情况报告表.pdf</w:t>
      </w:r>
      <w:r>
        <w:rPr>
          <w:rFonts w:hint="eastAsia" w:ascii="微软雅黑" w:hAnsi="微软雅黑" w:eastAsia="微软雅黑" w:cs="微软雅黑"/>
          <w:i w:val="0"/>
          <w:iCs w:val="0"/>
          <w:caps w:val="0"/>
          <w:color w:val="0050AC"/>
          <w:spacing w:val="0"/>
          <w:sz w:val="21"/>
          <w:szCs w:val="21"/>
          <w:highlight w:val="none"/>
          <w:u w:val="none"/>
          <w:shd w:val="clear" w:fill="FFFFFF"/>
        </w:rPr>
        <w:fldChar w:fldCharType="end"/>
      </w:r>
    </w:p>
    <w:p w14:paraId="5FE975E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2289ACF3">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享受股权激励递延纳税的纳税人按照个人所得税递延纳税报告办理</w:t>
      </w:r>
      <w:r>
        <w:rPr>
          <w:rFonts w:hint="eastAsia" w:ascii="宋体" w:hAnsi="宋体" w:eastAsia="宋体" w:cs="宋体"/>
          <w:bCs/>
          <w:sz w:val="24"/>
          <w:szCs w:val="24"/>
          <w:highlight w:val="none"/>
          <w:lang w:eastAsia="zh-CN"/>
        </w:rPr>
        <w:t>；</w:t>
      </w:r>
    </w:p>
    <w:p w14:paraId="6EA8105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4C3EE979">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楷体" w:hAnsi="楷体" w:eastAsia="楷体" w:cs="楷体"/>
          <w:i w:val="0"/>
          <w:iCs w:val="0"/>
          <w:caps w:val="0"/>
          <w:color w:val="0000FF"/>
          <w:spacing w:val="0"/>
          <w:sz w:val="24"/>
          <w:szCs w:val="24"/>
          <w:highlight w:val="none"/>
          <w:lang w:val="en-US" w:eastAsia="zh-CN"/>
        </w:rPr>
      </w:pPr>
      <w:r>
        <w:rPr>
          <w:rFonts w:hint="eastAsia"/>
          <w:highlight w:val="none"/>
          <w:lang w:val="en-US" w:eastAsia="zh-CN"/>
        </w:rPr>
        <w:t>以非本企业的股权激励，不能享受相应的递延纳税政策。</w:t>
      </w:r>
    </w:p>
    <w:p w14:paraId="05987EB0">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4EB3304D">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7A0E7E28">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2532AAC3">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highlight w:val="none"/>
          <w:lang w:val="en-US" w:eastAsia="zh-CN"/>
        </w:rPr>
      </w:pPr>
      <w:r>
        <w:rPr>
          <w:rFonts w:hint="eastAsia" w:ascii="宋体" w:hAnsi="宋体" w:eastAsia="宋体" w:cs="宋体"/>
          <w:bCs/>
          <w:sz w:val="24"/>
          <w:szCs w:val="24"/>
          <w:highlight w:val="none"/>
          <w:lang w:val="en-US" w:eastAsia="zh-CN"/>
        </w:rPr>
        <w:t>即时办结</w:t>
      </w:r>
    </w:p>
    <w:bookmarkEnd w:id="0"/>
    <w:p w14:paraId="1640AD7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1C714290">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50685E53">
      <w:pPr>
        <w:pStyle w:val="10"/>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纳税人通过</w:t>
      </w:r>
      <w:r>
        <w:rPr>
          <w:rFonts w:hint="eastAsia" w:ascii="宋体" w:hAnsi="宋体" w:eastAsia="宋体" w:cs="宋体"/>
          <w:bCs/>
          <w:sz w:val="24"/>
          <w:szCs w:val="24"/>
          <w:highlight w:val="none"/>
        </w:rPr>
        <w:t>自然人电子税务局（扣缴端）、（扣缴WEB端）</w:t>
      </w:r>
      <w:r>
        <w:rPr>
          <w:rFonts w:hint="eastAsia" w:ascii="宋体" w:hAnsi="宋体" w:eastAsia="宋体" w:cs="宋体"/>
          <w:sz w:val="24"/>
          <w:szCs w:val="24"/>
          <w:highlight w:val="none"/>
        </w:rPr>
        <w:t>对应功能，自主完成股权激励情况的报送、修改和查询。</w:t>
      </w:r>
    </w:p>
    <w:p w14:paraId="2F5DFE8E">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5BE14EFB">
      <w:pPr>
        <w:pStyle w:val="10"/>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纳税人在办税服务厅提交相应申报材料，提出股权激励情况报告申请。</w:t>
      </w:r>
    </w:p>
    <w:p w14:paraId="731C5E7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7E325F87">
      <w:pPr>
        <w:keepNext/>
        <w:pageBreakBefore w:val="0"/>
        <w:tabs>
          <w:tab w:val="center" w:pos="4200"/>
        </w:tabs>
        <w:kinsoku/>
        <w:wordWrap/>
        <w:bidi w:val="0"/>
        <w:snapToGrid/>
        <w:spacing w:before="157" w:beforeLines="50" w:after="120" w:line="360" w:lineRule="auto"/>
        <w:ind w:firstLine="482" w:firstLineChars="2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股权激励情况报告报送资料清单</w:t>
      </w: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7"/>
        <w:gridCol w:w="2380"/>
        <w:gridCol w:w="877"/>
        <w:gridCol w:w="877"/>
        <w:gridCol w:w="877"/>
        <w:gridCol w:w="877"/>
        <w:gridCol w:w="877"/>
        <w:gridCol w:w="877"/>
      </w:tblGrid>
      <w:tr w14:paraId="6640E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50" w:type="pct"/>
            <w:noWrap w:val="0"/>
            <w:vAlign w:val="center"/>
          </w:tcPr>
          <w:p w14:paraId="54DD6505">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59" w:type="pct"/>
            <w:noWrap w:val="0"/>
            <w:vAlign w:val="center"/>
          </w:tcPr>
          <w:p w14:paraId="1BC348FE">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478" w:type="pct"/>
            <w:noWrap w:val="0"/>
            <w:vAlign w:val="center"/>
          </w:tcPr>
          <w:p w14:paraId="2E5FFE88">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98" w:type="pct"/>
            <w:noWrap w:val="0"/>
            <w:vAlign w:val="center"/>
          </w:tcPr>
          <w:p w14:paraId="73802347">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97" w:type="pct"/>
            <w:noWrap w:val="0"/>
            <w:vAlign w:val="center"/>
          </w:tcPr>
          <w:p w14:paraId="0764784D">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18" w:type="pct"/>
            <w:noWrap w:val="0"/>
            <w:vAlign w:val="center"/>
          </w:tcPr>
          <w:p w14:paraId="5215A364">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98" w:type="pct"/>
            <w:noWrap w:val="0"/>
            <w:vAlign w:val="center"/>
          </w:tcPr>
          <w:p w14:paraId="0D5AB06C">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98" w:type="pct"/>
            <w:noWrap w:val="0"/>
            <w:vAlign w:val="center"/>
          </w:tcPr>
          <w:p w14:paraId="71810DA6">
            <w:pPr>
              <w:pageBreakBefore w:val="0"/>
              <w:kinsoku/>
              <w:wordWrap/>
              <w:bidi w:val="0"/>
              <w:snapToGrid/>
              <w:spacing w:before="157" w:beforeLines="50" w:after="120" w:line="360" w:lineRule="auto"/>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549B9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2D94C23D">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59" w:type="pct"/>
            <w:noWrap w:val="0"/>
            <w:vAlign w:val="top"/>
          </w:tcPr>
          <w:p w14:paraId="597F8380">
            <w:pPr>
              <w:pageBreakBefore w:val="0"/>
              <w:kinsoku/>
              <w:wordWrap/>
              <w:bidi w:val="0"/>
              <w:snapToGrid/>
              <w:spacing w:before="157" w:beforeLines="5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股权激励情况报告</w:t>
            </w:r>
            <w:r>
              <w:rPr>
                <w:rFonts w:hint="eastAsia" w:ascii="宋体" w:hAnsi="宋体" w:eastAsia="宋体" w:cs="宋体"/>
                <w:sz w:val="24"/>
                <w:szCs w:val="24"/>
                <w:highlight w:val="none"/>
              </w:rPr>
              <w:t>表》</w:t>
            </w:r>
          </w:p>
        </w:tc>
        <w:tc>
          <w:tcPr>
            <w:tcW w:w="478" w:type="pct"/>
            <w:noWrap w:val="0"/>
            <w:vAlign w:val="top"/>
          </w:tcPr>
          <w:p w14:paraId="7D127872">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noWrap w:val="0"/>
            <w:vAlign w:val="top"/>
          </w:tcPr>
          <w:p w14:paraId="22294CE3">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97" w:type="pct"/>
            <w:noWrap w:val="0"/>
            <w:vAlign w:val="top"/>
          </w:tcPr>
          <w:p w14:paraId="2ACA4E83">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top"/>
          </w:tcPr>
          <w:p w14:paraId="01595D08">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98" w:type="pct"/>
            <w:noWrap w:val="0"/>
            <w:vAlign w:val="top"/>
          </w:tcPr>
          <w:p w14:paraId="31685C8F">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98" w:type="pct"/>
            <w:noWrap w:val="0"/>
            <w:vAlign w:val="top"/>
          </w:tcPr>
          <w:p w14:paraId="4C14BA58">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r>
      <w:tr w14:paraId="2CC27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0873296F">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59" w:type="pct"/>
            <w:noWrap w:val="0"/>
            <w:vAlign w:val="top"/>
          </w:tcPr>
          <w:p w14:paraId="1EAA74DB">
            <w:pPr>
              <w:pageBreakBefore w:val="0"/>
              <w:kinsoku/>
              <w:wordWrap/>
              <w:bidi w:val="0"/>
              <w:snapToGrid/>
              <w:spacing w:before="157" w:beforeLines="5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股权（股票）激励相关资料</w:t>
            </w:r>
          </w:p>
        </w:tc>
        <w:tc>
          <w:tcPr>
            <w:tcW w:w="478" w:type="pct"/>
            <w:noWrap w:val="0"/>
            <w:vAlign w:val="top"/>
          </w:tcPr>
          <w:p w14:paraId="47CEE2E4">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98" w:type="pct"/>
            <w:noWrap w:val="0"/>
            <w:vAlign w:val="top"/>
          </w:tcPr>
          <w:p w14:paraId="711AB94B">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7" w:type="pct"/>
            <w:noWrap w:val="0"/>
            <w:vAlign w:val="top"/>
          </w:tcPr>
          <w:p w14:paraId="06167790">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18" w:type="pct"/>
            <w:noWrap w:val="0"/>
            <w:vAlign w:val="top"/>
          </w:tcPr>
          <w:p w14:paraId="1CBD0736">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98" w:type="pct"/>
            <w:noWrap w:val="0"/>
            <w:vAlign w:val="top"/>
          </w:tcPr>
          <w:p w14:paraId="15C04A76">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c>
          <w:tcPr>
            <w:tcW w:w="398" w:type="pct"/>
            <w:noWrap w:val="0"/>
            <w:vAlign w:val="top"/>
          </w:tcPr>
          <w:p w14:paraId="2A8FFFC6">
            <w:pPr>
              <w:pageBreakBefore w:val="0"/>
              <w:kinsoku/>
              <w:wordWrap/>
              <w:bidi w:val="0"/>
              <w:snapToGrid/>
              <w:spacing w:before="157" w:beforeLines="50" w:after="120" w:line="360" w:lineRule="auto"/>
              <w:ind w:firstLine="480" w:firstLineChars="200"/>
              <w:jc w:val="center"/>
              <w:rPr>
                <w:rFonts w:hint="eastAsia" w:ascii="宋体" w:hAnsi="宋体" w:eastAsia="宋体" w:cs="宋体"/>
                <w:sz w:val="24"/>
                <w:szCs w:val="24"/>
                <w:highlight w:val="none"/>
              </w:rPr>
            </w:pPr>
          </w:p>
        </w:tc>
      </w:tr>
    </w:tbl>
    <w:p w14:paraId="74396F82">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上述条件报送资料的报送条件为：</w:t>
      </w:r>
    </w:p>
    <w:p w14:paraId="3A08F5EB">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公司初次办理股权激励备案的或</w:t>
      </w:r>
      <w:r>
        <w:rPr>
          <w:rFonts w:hint="eastAsia" w:ascii="宋体" w:hAnsi="宋体" w:eastAsia="宋体" w:cs="宋体"/>
          <w:bCs/>
          <w:sz w:val="24"/>
          <w:szCs w:val="24"/>
          <w:highlight w:val="none"/>
        </w:rPr>
        <w:t>股权激励计划已实施但2021年底前尚未执行完毕的。</w:t>
      </w:r>
    </w:p>
    <w:p w14:paraId="42AD5DCC">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p>
    <w:bookmarkEnd w:id="1"/>
    <w:p w14:paraId="3580A0AE">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p>
    <w:p w14:paraId="342141FF">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83550"/>
    <w:rsid w:val="09584A30"/>
    <w:rsid w:val="0EA933D0"/>
    <w:rsid w:val="1BFD16A9"/>
    <w:rsid w:val="307B0C96"/>
    <w:rsid w:val="34F21DD7"/>
    <w:rsid w:val="406E2F9A"/>
    <w:rsid w:val="5CE4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rPr>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738</Words>
  <Characters>785</Characters>
  <Lines>0</Lines>
  <Paragraphs>0</Paragraphs>
  <TotalTime>14</TotalTime>
  <ScaleCrop>false</ScaleCrop>
  <LinksUpToDate>false</LinksUpToDate>
  <CharactersWithSpaces>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2025-02-27T07:06:00Z</dcterms:created>
  <dc:creator>tsuser</dc:creator>
  <cp:lastModifiedBy>默默</cp:lastModifiedBy>
  <dcterms:modified xsi:type="dcterms:W3CDTF">2025-07-10T05:39:55Z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88B4A7FF1B0D4EEC9B4ECB41AA49F053_12</vt:lpwstr>
  </property>
</Properties>
</file>