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F44809">
      <w:pPr>
        <w:rPr>
          <w:sz w:val="24"/>
          <w:szCs w:val="24"/>
          <w:highlight w:val="none"/>
        </w:rPr>
      </w:pPr>
    </w:p>
    <w:p w14:paraId="14782B3F">
      <w:pPr>
        <w:pStyle w:val="2"/>
        <w:rPr>
          <w:sz w:val="24"/>
          <w:szCs w:val="24"/>
          <w:highlight w:val="none"/>
        </w:rPr>
      </w:pPr>
      <w:r>
        <w:rPr>
          <w:rFonts w:hint="eastAsia"/>
          <w:sz w:val="24"/>
          <w:szCs w:val="24"/>
          <w:highlight w:val="none"/>
        </w:rPr>
        <w:t>3.5  独资合伙企业持有权益性投资情况报告——320</w:t>
      </w:r>
    </w:p>
    <w:p w14:paraId="3A75F22A">
      <w:pPr>
        <w:pStyle w:val="2"/>
        <w:rPr>
          <w:sz w:val="24"/>
          <w:szCs w:val="24"/>
          <w:highlight w:val="none"/>
        </w:rPr>
      </w:pPr>
    </w:p>
    <w:p w14:paraId="6AD7230B">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sz w:val="24"/>
          <w:szCs w:val="24"/>
          <w:highlight w:val="none"/>
          <w:lang w:val="en-US" w:eastAsia="zh-CN"/>
        </w:rPr>
      </w:pPr>
      <w:bookmarkStart w:id="1" w:name="_GoBack"/>
      <w:r>
        <w:rPr>
          <w:rFonts w:hint="eastAsia" w:ascii="宋体" w:hAnsi="宋体" w:eastAsia="宋体" w:cs="宋体"/>
          <w:sz w:val="24"/>
          <w:szCs w:val="24"/>
          <w:highlight w:val="none"/>
          <w:lang w:val="en-US" w:eastAsia="zh-CN"/>
        </w:rPr>
        <w:t>一、适用情形</w:t>
      </w:r>
    </w:p>
    <w:p w14:paraId="171B91AB">
      <w:pPr>
        <w:pageBreakBefore w:val="0"/>
        <w:kinsoku/>
        <w:wordWrap/>
        <w:bidi w:val="0"/>
        <w:snapToGrid/>
        <w:spacing w:before="157" w:beforeLines="50" w:after="157" w:afterLines="5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独资合伙企业持有股权、股票、合伙企业财产份额等权益性投资的，应就持有之日起30日内，主动向税务机关报送持有权益性投资的情况</w:t>
      </w:r>
      <w:r>
        <w:rPr>
          <w:rFonts w:hint="eastAsia" w:ascii="宋体" w:hAnsi="宋体" w:eastAsia="宋体" w:cs="宋体"/>
          <w:sz w:val="24"/>
          <w:szCs w:val="24"/>
          <w:highlight w:val="none"/>
        </w:rPr>
        <w:t>。</w:t>
      </w:r>
    </w:p>
    <w:p w14:paraId="4366CC39">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二、文件依据</w:t>
      </w:r>
    </w:p>
    <w:p w14:paraId="5C994C34">
      <w:pPr>
        <w:pageBreakBefore w:val="0"/>
        <w:kinsoku/>
        <w:wordWrap/>
        <w:bidi w:val="0"/>
        <w:snapToGrid/>
        <w:spacing w:before="157" w:beforeLines="50" w:after="120"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sz w:val="24"/>
          <w:szCs w:val="24"/>
          <w:highlight w:val="none"/>
        </w:rPr>
        <w:t>1.《财政部 税务总局关于权益性投资经营所得个人所得税征收管理的公告》（</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"https://ssfb86.com/index/News/detail/newsid/9926.html" </w:instrText>
      </w:r>
      <w:r>
        <w:rPr>
          <w:rFonts w:hint="eastAsia" w:ascii="宋体" w:hAnsi="宋体" w:eastAsia="宋体" w:cs="宋体"/>
          <w:sz w:val="24"/>
          <w:szCs w:val="24"/>
          <w:highlight w:val="none"/>
        </w:rPr>
        <w:fldChar w:fldCharType="separate"/>
      </w:r>
      <w:r>
        <w:rPr>
          <w:rStyle w:val="9"/>
          <w:rFonts w:hint="eastAsia" w:ascii="宋体" w:hAnsi="宋体" w:eastAsia="宋体" w:cs="宋体"/>
          <w:sz w:val="24"/>
          <w:szCs w:val="24"/>
          <w:highlight w:val="none"/>
        </w:rPr>
        <w:t>财政部 税务总局公告2021年第41号</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w:t>
      </w:r>
    </w:p>
    <w:p w14:paraId="7FF669CA">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三、相关文书及填写说明</w:t>
      </w:r>
    </w:p>
    <w:p w14:paraId="3C5E9405">
      <w:pPr>
        <w:keepNext w:val="0"/>
        <w:keepLines w:val="0"/>
        <w:pageBreakBefore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default"/>
          <w:sz w:val="24"/>
          <w:szCs w:val="24"/>
          <w:highlight w:val="none"/>
          <w:lang w:val="en-US" w:eastAsia="zh-CN"/>
        </w:rPr>
      </w:pPr>
      <w:r>
        <w:rPr>
          <w:rFonts w:hint="eastAsia" w:ascii="宋体" w:hAnsi="宋体" w:eastAsia="宋体" w:cs="宋体"/>
          <w:i w:val="0"/>
          <w:iCs w:val="0"/>
          <w:caps w:val="0"/>
          <w:color w:val="333333"/>
          <w:spacing w:val="0"/>
          <w:sz w:val="24"/>
          <w:szCs w:val="24"/>
          <w:highlight w:val="none"/>
          <w:shd w:val="clear" w:fill="FFFFFF"/>
        </w:rPr>
        <w:t>1.</w:t>
      </w:r>
      <w:r>
        <w:rPr>
          <w:rFonts w:hint="eastAsia" w:ascii="宋体" w:hAnsi="宋体" w:eastAsia="宋体" w:cs="宋体"/>
          <w:i w:val="0"/>
          <w:iCs w:val="0"/>
          <w:caps w:val="0"/>
          <w:color w:val="333333"/>
          <w:spacing w:val="0"/>
          <w:sz w:val="24"/>
          <w:szCs w:val="24"/>
          <w:highlight w:val="none"/>
          <w:shd w:val="clear" w:fill="FFFFFF"/>
          <w:lang w:val="en-US" w:eastAsia="zh-CN"/>
        </w:rPr>
        <w:t>整理中</w:t>
      </w:r>
    </w:p>
    <w:p w14:paraId="02213386">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sz w:val="24"/>
          <w:szCs w:val="24"/>
          <w:highlight w:val="none"/>
          <w:lang w:val="en-US" w:eastAsia="zh-CN"/>
        </w:rPr>
        <w:t>四、注意事项</w:t>
      </w:r>
    </w:p>
    <w:p w14:paraId="26190C33">
      <w:pPr>
        <w:pageBreakBefore w:val="0"/>
        <w:kinsoku/>
        <w:wordWrap/>
        <w:bidi w:val="0"/>
        <w:snapToGrid/>
        <w:spacing w:before="157" w:beforeLines="50" w:after="157" w:afterLines="50" w:line="360" w:lineRule="auto"/>
        <w:ind w:firstLine="480" w:firstLineChars="200"/>
        <w:rPr>
          <w:rFonts w:hint="eastAsia" w:ascii="宋体" w:hAnsi="宋体" w:eastAsia="宋体" w:cs="宋体"/>
          <w:bCs/>
          <w:sz w:val="24"/>
          <w:szCs w:val="24"/>
          <w:highlight w:val="none"/>
          <w:lang w:eastAsia="zh-CN"/>
        </w:rPr>
      </w:pPr>
      <w:r>
        <w:rPr>
          <w:rFonts w:hint="eastAsia" w:ascii="宋体" w:hAnsi="宋体" w:eastAsia="宋体" w:cs="宋体"/>
          <w:sz w:val="24"/>
          <w:szCs w:val="24"/>
          <w:highlight w:val="none"/>
        </w:rPr>
        <w:t>税务机关接到核定征收独资合伙企业报送持有权益性投资情况的，调整其征收方式为查账征收</w:t>
      </w:r>
      <w:r>
        <w:rPr>
          <w:rFonts w:hint="eastAsia" w:ascii="宋体" w:hAnsi="宋体" w:eastAsia="宋体" w:cs="宋体"/>
          <w:sz w:val="24"/>
          <w:szCs w:val="24"/>
          <w:highlight w:val="none"/>
        </w:rPr>
        <w:t>。</w:t>
      </w:r>
    </w:p>
    <w:p w14:paraId="7B51D932">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五、涉税风险与典型案例</w:t>
      </w:r>
    </w:p>
    <w:p w14:paraId="2FB529A4">
      <w:pPr>
        <w:pStyle w:val="2"/>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宋体" w:hAnsi="宋体" w:eastAsia="宋体" w:cs="宋体"/>
          <w:i w:val="0"/>
          <w:iCs w:val="0"/>
          <w:caps w:val="0"/>
          <w:color w:val="0000FF"/>
          <w:spacing w:val="0"/>
          <w:sz w:val="24"/>
          <w:szCs w:val="24"/>
          <w:highlight w:val="none"/>
          <w:lang w:val="en-US" w:eastAsia="zh-CN"/>
        </w:rPr>
      </w:pPr>
      <w:r>
        <w:rPr>
          <w:rFonts w:hint="eastAsia" w:ascii="宋体" w:hAnsi="宋体" w:cs="宋体"/>
          <w:sz w:val="24"/>
          <w:szCs w:val="24"/>
          <w:highlight w:val="none"/>
          <w:lang w:val="en-US" w:eastAsia="zh-CN"/>
        </w:rPr>
        <w:t>整理中</w:t>
      </w:r>
      <w:r>
        <w:rPr>
          <w:rFonts w:hint="eastAsia" w:ascii="宋体" w:hAnsi="宋体" w:eastAsia="宋体" w:cs="宋体"/>
          <w:sz w:val="24"/>
          <w:szCs w:val="24"/>
          <w:highlight w:val="none"/>
          <w:lang w:val="en-US" w:eastAsia="zh-CN"/>
        </w:rPr>
        <w:t>。</w:t>
      </w:r>
    </w:p>
    <w:p w14:paraId="08743A9D">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六、办理方式</w:t>
      </w:r>
    </w:p>
    <w:p w14:paraId="2AF2278C">
      <w:pPr>
        <w:pStyle w:val="2"/>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cs="宋体"/>
          <w:sz w:val="24"/>
          <w:szCs w:val="24"/>
          <w:highlight w:val="none"/>
          <w:lang w:val="en-US" w:eastAsia="zh-CN"/>
        </w:rPr>
        <w:t>线上（全程在线自主办结）/线下</w:t>
      </w:r>
    </w:p>
    <w:p w14:paraId="26E211B6">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highlight w:val="none"/>
          <w:lang w:val="en-US" w:eastAsia="zh-CN"/>
        </w:rPr>
      </w:pPr>
      <w:bookmarkStart w:id="0" w:name="OLE_LINK2"/>
      <w:r>
        <w:rPr>
          <w:rFonts w:hint="eastAsia" w:ascii="宋体" w:hAnsi="宋体" w:eastAsia="宋体" w:cs="宋体"/>
          <w:b/>
          <w:sz w:val="24"/>
          <w:szCs w:val="24"/>
          <w:highlight w:val="none"/>
          <w:lang w:val="en-US" w:eastAsia="zh-CN"/>
        </w:rPr>
        <w:t>七、办理时限</w:t>
      </w:r>
    </w:p>
    <w:p w14:paraId="68D51023">
      <w:pPr>
        <w:pStyle w:val="2"/>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即时办结</w:t>
      </w:r>
    </w:p>
    <w:bookmarkEnd w:id="0"/>
    <w:p w14:paraId="53B246A1">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八、操作指引</w:t>
      </w:r>
    </w:p>
    <w:p w14:paraId="72BABFB9">
      <w:pPr>
        <w:keepNext/>
        <w:keepLines/>
        <w:pageBreakBefore w:val="0"/>
        <w:kinsoku/>
        <w:wordWrap/>
        <w:bidi w:val="0"/>
        <w:snapToGrid/>
        <w:spacing w:before="157" w:beforeLines="50" w:after="157" w:afterLines="50" w:line="360" w:lineRule="auto"/>
        <w:ind w:firstLine="482" w:firstLineChars="200"/>
        <w:outlineLvl w:val="1"/>
        <w:rPr>
          <w:rFonts w:hint="eastAsia" w:ascii="宋体" w:hAnsi="宋体" w:eastAsia="宋体" w:cs="宋体"/>
          <w:b/>
          <w:sz w:val="24"/>
          <w:szCs w:val="24"/>
          <w:highlight w:val="none"/>
        </w:rPr>
      </w:pPr>
      <w:r>
        <w:rPr>
          <w:rFonts w:hint="eastAsia" w:ascii="宋体" w:hAnsi="宋体" w:eastAsia="宋体" w:cs="宋体"/>
          <w:b/>
          <w:sz w:val="24"/>
          <w:szCs w:val="24"/>
          <w:highlight w:val="none"/>
          <w:lang w:eastAsia="zh-CN"/>
        </w:rPr>
        <w:t>（一）</w:t>
      </w:r>
      <w:r>
        <w:rPr>
          <w:rFonts w:hint="eastAsia" w:ascii="宋体" w:hAnsi="宋体" w:eastAsia="宋体" w:cs="宋体"/>
          <w:b/>
          <w:sz w:val="24"/>
          <w:szCs w:val="24"/>
          <w:highlight w:val="none"/>
        </w:rPr>
        <w:t>线上流程</w:t>
      </w:r>
    </w:p>
    <w:p w14:paraId="1A4BFDCA">
      <w:pPr>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sz w:val="24"/>
          <w:szCs w:val="24"/>
          <w:highlight w:val="none"/>
        </w:rPr>
        <w:t>持有股权、股票、合伙企业财产份额等权益性投资的独资合伙企业通过自然人电子税务局（扣缴端）、自然人电子税务局（WEB端）对应功能，自主完成信息填报并提交</w:t>
      </w:r>
      <w:r>
        <w:rPr>
          <w:rFonts w:hint="eastAsia" w:ascii="宋体" w:hAnsi="宋体" w:eastAsia="宋体" w:cs="宋体"/>
          <w:bCs/>
          <w:sz w:val="24"/>
          <w:szCs w:val="24"/>
          <w:highlight w:val="none"/>
          <w:lang w:val="en-US" w:eastAsia="zh-CN"/>
        </w:rPr>
        <w:t>。</w:t>
      </w:r>
    </w:p>
    <w:p w14:paraId="18B426AC">
      <w:pPr>
        <w:pageBreakBefore w:val="0"/>
        <w:kinsoku/>
        <w:wordWrap/>
        <w:bidi w:val="0"/>
        <w:snapToGrid/>
        <w:spacing w:before="157" w:beforeLines="50" w:after="120"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自然人电子税务局（扣缴端）“经营所得-持有权益性投资情况”</w:t>
      </w:r>
    </w:p>
    <w:p w14:paraId="502C95F8">
      <w:pPr>
        <w:pageBreakBefore w:val="0"/>
        <w:kinsoku/>
        <w:wordWrap/>
        <w:bidi w:val="0"/>
        <w:snapToGrid/>
        <w:spacing w:before="157" w:beforeLines="50" w:after="120" w:line="360" w:lineRule="auto"/>
        <w:ind w:firstLine="480" w:firstLineChars="200"/>
        <w:rPr>
          <w:rFonts w:hint="eastAsia"/>
          <w:sz w:val="24"/>
          <w:szCs w:val="24"/>
          <w:highlight w:val="none"/>
          <w:lang w:val="en-US" w:eastAsia="zh-CN"/>
        </w:rPr>
      </w:pPr>
      <w:r>
        <w:rPr>
          <w:rFonts w:hint="eastAsia" w:ascii="宋体" w:hAnsi="宋体" w:eastAsia="宋体" w:cs="宋体"/>
          <w:bCs/>
          <w:sz w:val="24"/>
          <w:szCs w:val="24"/>
          <w:highlight w:val="none"/>
        </w:rPr>
        <w:t>自然人电子税务局（WEB端）“经营所得-持有权益性投资情况”</w:t>
      </w:r>
    </w:p>
    <w:p w14:paraId="1815F0AD">
      <w:pPr>
        <w:keepNext/>
        <w:keepLines/>
        <w:pageBreakBefore w:val="0"/>
        <w:kinsoku/>
        <w:wordWrap/>
        <w:bidi w:val="0"/>
        <w:snapToGrid/>
        <w:spacing w:before="157" w:beforeLines="50" w:after="157" w:afterLines="50" w:line="360" w:lineRule="auto"/>
        <w:ind w:firstLine="482" w:firstLineChars="200"/>
        <w:outlineLvl w:val="1"/>
        <w:rPr>
          <w:rFonts w:hint="eastAsia" w:ascii="宋体" w:hAnsi="宋体" w:eastAsia="宋体" w:cs="宋体"/>
          <w:b/>
          <w:sz w:val="24"/>
          <w:szCs w:val="24"/>
          <w:highlight w:val="none"/>
        </w:rPr>
      </w:pPr>
      <w:r>
        <w:rPr>
          <w:rFonts w:hint="eastAsia" w:ascii="宋体" w:hAnsi="宋体" w:eastAsia="宋体" w:cs="宋体"/>
          <w:b/>
          <w:sz w:val="24"/>
          <w:szCs w:val="24"/>
          <w:highlight w:val="none"/>
          <w:lang w:eastAsia="zh-CN"/>
        </w:rPr>
        <w:t>（二）</w:t>
      </w:r>
      <w:r>
        <w:rPr>
          <w:rFonts w:hint="eastAsia" w:ascii="宋体" w:hAnsi="宋体" w:eastAsia="宋体" w:cs="宋体"/>
          <w:b/>
          <w:sz w:val="24"/>
          <w:szCs w:val="24"/>
          <w:highlight w:val="none"/>
        </w:rPr>
        <w:t>线下流程：</w:t>
      </w:r>
    </w:p>
    <w:p w14:paraId="7A817BDD">
      <w:pPr>
        <w:pageBreakBefore w:val="0"/>
        <w:kinsoku/>
        <w:wordWrap/>
        <w:bidi w:val="0"/>
        <w:snapToGrid/>
        <w:spacing w:before="157" w:beforeLines="50" w:after="157" w:afterLines="50"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sz w:val="24"/>
          <w:szCs w:val="24"/>
          <w:highlight w:val="none"/>
        </w:rPr>
        <w:t>持有股权、股票、合伙企业财产份额等权益性投资的独资合伙企业在办税服务厅提交相应材料，报告相关信息</w:t>
      </w:r>
      <w:r>
        <w:rPr>
          <w:rFonts w:hint="eastAsia" w:ascii="宋体" w:hAnsi="宋体" w:eastAsia="宋体" w:cs="宋体"/>
          <w:bCs/>
          <w:sz w:val="24"/>
          <w:szCs w:val="24"/>
          <w:highlight w:val="none"/>
        </w:rPr>
        <w:t>。</w:t>
      </w:r>
    </w:p>
    <w:p w14:paraId="7C504492">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九、资料处理</w:t>
      </w:r>
    </w:p>
    <w:p w14:paraId="07CFE2AA">
      <w:pPr>
        <w:keepNext/>
        <w:pageBreakBefore w:val="0"/>
        <w:tabs>
          <w:tab w:val="center" w:pos="4200"/>
        </w:tabs>
        <w:kinsoku/>
        <w:wordWrap/>
        <w:bidi w:val="0"/>
        <w:snapToGrid/>
        <w:spacing w:before="157" w:beforeLines="50" w:after="120" w:line="360" w:lineRule="auto"/>
        <w:ind w:firstLine="100"/>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独资合伙企业持有权益性投资情况报告报送资料清单</w:t>
      </w:r>
    </w:p>
    <w:tbl>
      <w:tblPr>
        <w:tblStyle w:val="6"/>
        <w:tblW w:w="850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24"/>
        <w:gridCol w:w="4139"/>
        <w:gridCol w:w="624"/>
        <w:gridCol w:w="624"/>
        <w:gridCol w:w="624"/>
        <w:gridCol w:w="624"/>
        <w:gridCol w:w="624"/>
        <w:gridCol w:w="624"/>
      </w:tblGrid>
      <w:tr w14:paraId="599838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blHeader/>
        </w:trPr>
        <w:tc>
          <w:tcPr>
            <w:tcW w:w="624" w:type="dxa"/>
            <w:tcBorders>
              <w:top w:val="single" w:color="auto" w:sz="12" w:space="0"/>
              <w:bottom w:val="single" w:color="auto" w:sz="6" w:space="0"/>
            </w:tcBorders>
            <w:shd w:val="clear" w:color="auto" w:fill="E0E0E0"/>
            <w:noWrap w:val="0"/>
            <w:vAlign w:val="center"/>
          </w:tcPr>
          <w:p w14:paraId="59EF82D7">
            <w:pPr>
              <w:pageBreakBefore w:val="0"/>
              <w:kinsoku/>
              <w:wordWrap/>
              <w:bidi w:val="0"/>
              <w:snapToGrid/>
              <w:spacing w:before="157" w:beforeLines="50" w:after="120"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4139" w:type="dxa"/>
            <w:tcBorders>
              <w:top w:val="single" w:color="auto" w:sz="12" w:space="0"/>
              <w:bottom w:val="single" w:color="auto" w:sz="6" w:space="0"/>
            </w:tcBorders>
            <w:shd w:val="clear" w:color="auto" w:fill="E0E0E0"/>
            <w:noWrap w:val="0"/>
            <w:vAlign w:val="center"/>
          </w:tcPr>
          <w:p w14:paraId="53EF6CEA">
            <w:pPr>
              <w:pageBreakBefore w:val="0"/>
              <w:kinsoku/>
              <w:wordWrap/>
              <w:bidi w:val="0"/>
              <w:snapToGrid/>
              <w:spacing w:before="157" w:beforeLines="50" w:after="120"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报送资料名称</w:t>
            </w:r>
          </w:p>
        </w:tc>
        <w:tc>
          <w:tcPr>
            <w:tcW w:w="624" w:type="dxa"/>
            <w:tcBorders>
              <w:top w:val="single" w:color="auto" w:sz="12" w:space="0"/>
              <w:bottom w:val="single" w:color="auto" w:sz="6" w:space="0"/>
            </w:tcBorders>
            <w:shd w:val="clear" w:color="auto" w:fill="E0E0E0"/>
            <w:noWrap w:val="0"/>
            <w:vAlign w:val="center"/>
          </w:tcPr>
          <w:p w14:paraId="41234617">
            <w:pPr>
              <w:pageBreakBefore w:val="0"/>
              <w:kinsoku/>
              <w:wordWrap/>
              <w:bidi w:val="0"/>
              <w:snapToGrid/>
              <w:spacing w:before="157" w:beforeLines="50" w:after="120"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必报</w:t>
            </w:r>
          </w:p>
        </w:tc>
        <w:tc>
          <w:tcPr>
            <w:tcW w:w="624" w:type="dxa"/>
            <w:tcBorders>
              <w:top w:val="single" w:color="auto" w:sz="12" w:space="0"/>
              <w:bottom w:val="single" w:color="auto" w:sz="6" w:space="0"/>
            </w:tcBorders>
            <w:shd w:val="clear" w:color="auto" w:fill="E0E0E0"/>
            <w:noWrap w:val="0"/>
            <w:vAlign w:val="center"/>
          </w:tcPr>
          <w:p w14:paraId="3FFA6B6E">
            <w:pPr>
              <w:pageBreakBefore w:val="0"/>
              <w:kinsoku/>
              <w:wordWrap/>
              <w:bidi w:val="0"/>
              <w:snapToGrid/>
              <w:spacing w:before="157" w:beforeLines="50" w:after="120"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条件报送</w:t>
            </w:r>
          </w:p>
        </w:tc>
        <w:tc>
          <w:tcPr>
            <w:tcW w:w="624" w:type="dxa"/>
            <w:tcBorders>
              <w:top w:val="single" w:color="auto" w:sz="12" w:space="0"/>
              <w:bottom w:val="single" w:color="auto" w:sz="6" w:space="0"/>
            </w:tcBorders>
            <w:shd w:val="clear" w:color="auto" w:fill="E0E0E0"/>
            <w:noWrap w:val="0"/>
            <w:vAlign w:val="center"/>
          </w:tcPr>
          <w:p w14:paraId="5C0F71BB">
            <w:pPr>
              <w:pageBreakBefore w:val="0"/>
              <w:kinsoku/>
              <w:wordWrap/>
              <w:bidi w:val="0"/>
              <w:snapToGrid/>
              <w:spacing w:before="157" w:beforeLines="50" w:after="120"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归档</w:t>
            </w:r>
          </w:p>
        </w:tc>
        <w:tc>
          <w:tcPr>
            <w:tcW w:w="624" w:type="dxa"/>
            <w:tcBorders>
              <w:top w:val="single" w:color="auto" w:sz="12" w:space="0"/>
              <w:bottom w:val="single" w:color="auto" w:sz="6" w:space="0"/>
            </w:tcBorders>
            <w:shd w:val="clear" w:color="auto" w:fill="E0E0E0"/>
            <w:noWrap w:val="0"/>
            <w:vAlign w:val="center"/>
          </w:tcPr>
          <w:p w14:paraId="15418197">
            <w:pPr>
              <w:pageBreakBefore w:val="0"/>
              <w:kinsoku/>
              <w:wordWrap/>
              <w:bidi w:val="0"/>
              <w:snapToGrid/>
              <w:spacing w:before="157" w:beforeLines="50" w:after="120"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查验</w:t>
            </w:r>
          </w:p>
        </w:tc>
        <w:tc>
          <w:tcPr>
            <w:tcW w:w="624" w:type="dxa"/>
            <w:tcBorders>
              <w:top w:val="single" w:color="auto" w:sz="12" w:space="0"/>
              <w:bottom w:val="single" w:color="auto" w:sz="6" w:space="0"/>
            </w:tcBorders>
            <w:shd w:val="clear" w:color="auto" w:fill="E0E0E0"/>
            <w:noWrap w:val="0"/>
            <w:vAlign w:val="center"/>
          </w:tcPr>
          <w:p w14:paraId="27D9F548">
            <w:pPr>
              <w:pageBreakBefore w:val="0"/>
              <w:kinsoku/>
              <w:wordWrap/>
              <w:bidi w:val="0"/>
              <w:snapToGrid/>
              <w:spacing w:before="157" w:beforeLines="50" w:after="120"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代保管</w:t>
            </w:r>
          </w:p>
        </w:tc>
        <w:tc>
          <w:tcPr>
            <w:tcW w:w="624" w:type="dxa"/>
            <w:tcBorders>
              <w:top w:val="single" w:color="auto" w:sz="12" w:space="0"/>
              <w:bottom w:val="single" w:color="auto" w:sz="6" w:space="0"/>
            </w:tcBorders>
            <w:shd w:val="clear" w:color="auto" w:fill="E0E0E0"/>
            <w:noWrap w:val="0"/>
            <w:vAlign w:val="center"/>
          </w:tcPr>
          <w:p w14:paraId="1ED25574">
            <w:pPr>
              <w:pageBreakBefore w:val="0"/>
              <w:kinsoku/>
              <w:wordWrap/>
              <w:bidi w:val="0"/>
              <w:snapToGrid/>
              <w:spacing w:before="157" w:beforeLines="50" w:after="120"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核销</w:t>
            </w:r>
          </w:p>
        </w:tc>
      </w:tr>
      <w:tr w14:paraId="549944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24" w:type="dxa"/>
            <w:tcBorders>
              <w:top w:val="single" w:color="auto" w:sz="6" w:space="0"/>
            </w:tcBorders>
            <w:noWrap w:val="0"/>
            <w:vAlign w:val="top"/>
          </w:tcPr>
          <w:p w14:paraId="5C6B2710">
            <w:pPr>
              <w:pageBreakBefore w:val="0"/>
              <w:kinsoku/>
              <w:wordWrap/>
              <w:bidi w:val="0"/>
              <w:snapToGrid/>
              <w:spacing w:before="157" w:beforeLines="50" w:after="12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4139" w:type="dxa"/>
            <w:tcBorders>
              <w:top w:val="single" w:color="auto" w:sz="6" w:space="0"/>
            </w:tcBorders>
            <w:noWrap w:val="0"/>
            <w:vAlign w:val="top"/>
          </w:tcPr>
          <w:p w14:paraId="05ED6CD4">
            <w:pPr>
              <w:pageBreakBefore w:val="0"/>
              <w:kinsoku/>
              <w:wordWrap/>
              <w:bidi w:val="0"/>
              <w:snapToGrid/>
              <w:spacing w:before="157" w:beforeLines="50" w:after="120" w:line="360" w:lineRule="auto"/>
              <w:jc w:val="left"/>
              <w:rPr>
                <w:rFonts w:hint="eastAsia" w:ascii="宋体" w:hAnsi="宋体" w:eastAsia="宋体" w:cs="宋体"/>
                <w:sz w:val="24"/>
                <w:szCs w:val="24"/>
                <w:highlight w:val="none"/>
              </w:rPr>
            </w:pPr>
            <w:r>
              <w:rPr>
                <w:rFonts w:hint="eastAsia" w:ascii="宋体" w:hAnsi="宋体" w:eastAsia="宋体" w:cs="宋体"/>
                <w:bCs/>
                <w:sz w:val="24"/>
                <w:szCs w:val="24"/>
                <w:highlight w:val="none"/>
              </w:rPr>
              <w:t>《独资合伙企业持有权益性投资情况》</w:t>
            </w:r>
          </w:p>
        </w:tc>
        <w:tc>
          <w:tcPr>
            <w:tcW w:w="624" w:type="dxa"/>
            <w:tcBorders>
              <w:top w:val="single" w:color="auto" w:sz="6" w:space="0"/>
            </w:tcBorders>
            <w:noWrap w:val="0"/>
            <w:vAlign w:val="top"/>
          </w:tcPr>
          <w:p w14:paraId="7206E703">
            <w:pPr>
              <w:pageBreakBefore w:val="0"/>
              <w:kinsoku/>
              <w:wordWrap/>
              <w:bidi w:val="0"/>
              <w:snapToGrid/>
              <w:spacing w:before="157" w:beforeLines="50" w:after="12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624" w:type="dxa"/>
            <w:tcBorders>
              <w:top w:val="single" w:color="auto" w:sz="6" w:space="0"/>
            </w:tcBorders>
            <w:noWrap w:val="0"/>
            <w:vAlign w:val="top"/>
          </w:tcPr>
          <w:p w14:paraId="4F65E575">
            <w:pPr>
              <w:pageBreakBefore w:val="0"/>
              <w:kinsoku/>
              <w:wordWrap/>
              <w:bidi w:val="0"/>
              <w:snapToGrid/>
              <w:spacing w:before="157" w:beforeLines="50" w:after="120" w:line="360" w:lineRule="auto"/>
              <w:jc w:val="center"/>
              <w:rPr>
                <w:rFonts w:hint="eastAsia" w:ascii="宋体" w:hAnsi="宋体" w:eastAsia="宋体" w:cs="宋体"/>
                <w:sz w:val="24"/>
                <w:szCs w:val="24"/>
                <w:highlight w:val="none"/>
              </w:rPr>
            </w:pPr>
          </w:p>
        </w:tc>
        <w:tc>
          <w:tcPr>
            <w:tcW w:w="624" w:type="dxa"/>
            <w:tcBorders>
              <w:top w:val="single" w:color="auto" w:sz="6" w:space="0"/>
            </w:tcBorders>
            <w:noWrap w:val="0"/>
            <w:vAlign w:val="top"/>
          </w:tcPr>
          <w:p w14:paraId="4B4A50C6">
            <w:pPr>
              <w:pageBreakBefore w:val="0"/>
              <w:kinsoku/>
              <w:wordWrap/>
              <w:bidi w:val="0"/>
              <w:snapToGrid/>
              <w:spacing w:before="157" w:beforeLines="50" w:after="12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624" w:type="dxa"/>
            <w:tcBorders>
              <w:top w:val="single" w:color="auto" w:sz="6" w:space="0"/>
            </w:tcBorders>
            <w:noWrap w:val="0"/>
            <w:vAlign w:val="top"/>
          </w:tcPr>
          <w:p w14:paraId="23BB6B53">
            <w:pPr>
              <w:pageBreakBefore w:val="0"/>
              <w:kinsoku/>
              <w:wordWrap/>
              <w:bidi w:val="0"/>
              <w:snapToGrid/>
              <w:spacing w:before="157" w:beforeLines="50" w:after="120" w:line="360" w:lineRule="auto"/>
              <w:jc w:val="center"/>
              <w:rPr>
                <w:rFonts w:hint="eastAsia" w:ascii="宋体" w:hAnsi="宋体" w:eastAsia="宋体" w:cs="宋体"/>
                <w:sz w:val="24"/>
                <w:szCs w:val="24"/>
                <w:highlight w:val="none"/>
              </w:rPr>
            </w:pPr>
          </w:p>
        </w:tc>
        <w:tc>
          <w:tcPr>
            <w:tcW w:w="624" w:type="dxa"/>
            <w:tcBorders>
              <w:top w:val="single" w:color="auto" w:sz="6" w:space="0"/>
            </w:tcBorders>
            <w:noWrap w:val="0"/>
            <w:vAlign w:val="top"/>
          </w:tcPr>
          <w:p w14:paraId="3FB49BB7">
            <w:pPr>
              <w:pageBreakBefore w:val="0"/>
              <w:kinsoku/>
              <w:wordWrap/>
              <w:bidi w:val="0"/>
              <w:snapToGrid/>
              <w:spacing w:before="157" w:beforeLines="50" w:after="120" w:line="360" w:lineRule="auto"/>
              <w:jc w:val="center"/>
              <w:rPr>
                <w:rFonts w:hint="eastAsia" w:ascii="宋体" w:hAnsi="宋体" w:eastAsia="宋体" w:cs="宋体"/>
                <w:sz w:val="24"/>
                <w:szCs w:val="24"/>
                <w:highlight w:val="none"/>
              </w:rPr>
            </w:pPr>
          </w:p>
        </w:tc>
        <w:tc>
          <w:tcPr>
            <w:tcW w:w="624" w:type="dxa"/>
            <w:tcBorders>
              <w:top w:val="single" w:color="auto" w:sz="6" w:space="0"/>
            </w:tcBorders>
            <w:noWrap w:val="0"/>
            <w:vAlign w:val="top"/>
          </w:tcPr>
          <w:p w14:paraId="7195BB4B">
            <w:pPr>
              <w:pageBreakBefore w:val="0"/>
              <w:kinsoku/>
              <w:wordWrap/>
              <w:bidi w:val="0"/>
              <w:snapToGrid/>
              <w:spacing w:before="157" w:beforeLines="50" w:after="120" w:line="360" w:lineRule="auto"/>
              <w:jc w:val="center"/>
              <w:rPr>
                <w:rFonts w:hint="eastAsia" w:ascii="宋体" w:hAnsi="宋体" w:eastAsia="宋体" w:cs="宋体"/>
                <w:sz w:val="24"/>
                <w:szCs w:val="24"/>
                <w:highlight w:val="none"/>
              </w:rPr>
            </w:pPr>
          </w:p>
        </w:tc>
      </w:tr>
    </w:tbl>
    <w:p w14:paraId="3315B491">
      <w:pPr>
        <w:pageBreakBefore w:val="0"/>
        <w:kinsoku/>
        <w:wordWrap/>
        <w:bidi w:val="0"/>
        <w:snapToGrid/>
        <w:spacing w:before="157" w:beforeLines="50" w:after="120" w:line="360" w:lineRule="auto"/>
        <w:rPr>
          <w:rFonts w:hint="eastAsia" w:ascii="宋体" w:hAnsi="宋体" w:eastAsia="宋体" w:cs="宋体"/>
          <w:sz w:val="24"/>
          <w:szCs w:val="24"/>
          <w:highlight w:val="none"/>
        </w:rPr>
      </w:pPr>
    </w:p>
    <w:p w14:paraId="4F00B5CE">
      <w:pPr>
        <w:pageBreakBefore w:val="0"/>
        <w:kinsoku/>
        <w:wordWrap/>
        <w:bidi w:val="0"/>
        <w:snapToGrid/>
        <w:spacing w:before="157" w:beforeLines="50" w:after="120" w:line="360" w:lineRule="auto"/>
        <w:rPr>
          <w:rFonts w:hint="eastAsia" w:ascii="宋体" w:hAnsi="宋体" w:eastAsia="宋体" w:cs="宋体"/>
          <w:sz w:val="24"/>
          <w:szCs w:val="24"/>
          <w:highlight w:val="none"/>
        </w:rPr>
      </w:pPr>
    </w:p>
    <w:bookmarkEnd w:id="1"/>
    <w:p w14:paraId="57A506CB">
      <w:pPr>
        <w:rPr>
          <w:sz w:val="24"/>
          <w:szCs w:val="24"/>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5F70FA"/>
    <w:rsid w:val="2ABA5E42"/>
    <w:rsid w:val="39D34762"/>
    <w:rsid w:val="3A84675F"/>
    <w:rsid w:val="3D6C5F71"/>
    <w:rsid w:val="48706280"/>
    <w:rsid w:val="62F42106"/>
    <w:rsid w:val="6CE727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3"/>
    <w:qFormat/>
    <w:uiPriority w:val="99"/>
    <w:pPr>
      <w:spacing w:after="120"/>
    </w:pPr>
  </w:style>
  <w:style w:type="paragraph" w:customStyle="1" w:styleId="3">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5">
    <w:name w:val="Normal (Web)"/>
    <w:basedOn w:val="1"/>
    <w:qFormat/>
    <w:uiPriority w:val="0"/>
    <w:rPr>
      <w:sz w:val="24"/>
    </w:rPr>
  </w:style>
  <w:style w:type="character" w:styleId="8">
    <w:name w:val="FollowedHyperlink"/>
    <w:basedOn w:val="7"/>
    <w:qFormat/>
    <w:uiPriority w:val="0"/>
    <w:rPr>
      <w:color w:val="800080"/>
      <w:u w:val="single"/>
    </w:rPr>
  </w:style>
  <w:style w:type="character" w:styleId="9">
    <w:name w:val="Hyperlink"/>
    <w:basedOn w:val="7"/>
    <w:qFormat/>
    <w:uiPriority w:val="0"/>
    <w:rPr>
      <w:color w:val="0000FF"/>
      <w:u w:val="single"/>
    </w:rPr>
  </w:style>
  <w:style w:type="paragraph" w:customStyle="1" w:styleId="10">
    <w:name w:val="需求正文_0"/>
    <w:basedOn w:val="11"/>
    <w:qFormat/>
    <w:uiPriority w:val="0"/>
    <w:pPr>
      <w:topLinePunct/>
      <w:ind w:firstLine="200"/>
    </w:pPr>
    <w:rPr>
      <w:kern w:val="20"/>
      <w:sz w:val="20"/>
      <w:szCs w:val="20"/>
    </w:rPr>
  </w:style>
  <w:style w:type="paragraph" w:customStyle="1" w:styleId="11">
    <w:name w:val="正文_0_0"/>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525</Words>
  <Characters>544</Characters>
  <Lines>0</Lines>
  <Paragraphs>0</Paragraphs>
  <TotalTime>7</TotalTime>
  <ScaleCrop>false</ScaleCrop>
  <LinksUpToDate>false</LinksUpToDate>
  <CharactersWithSpaces>548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2025-02-27T07:14:00Z</dcterms:created>
  <dc:creator>tsuser</dc:creator>
  <cp:lastModifiedBy>默默</cp:lastModifiedBy>
  <dcterms:modified xsi:type="dcterms:W3CDTF">2025-07-10T05:51:43Z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eyJoZGlkIjoiYWI0MTczMTlmZGQwMDlkNjE0Y2E2NDViNmNjNWY1ZmYiLCJ1c2VySWQiOiI3MzkzMzY4MTcifQ==</vt:lpwstr>
  </property>
  <property fmtid="{D5CDD505-2E9C-101B-9397-08002B2CF9AE}" pid="4" name="ICV">
    <vt:lpwstr>1DEA5D2BE77D4FB9A6F1F536FDDDCC01_12</vt:lpwstr>
  </property>
</Properties>
</file>