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D4E7F"/>
    <w:p w14:paraId="1F9B8635">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居民综合所得申报——415</w:t>
      </w:r>
    </w:p>
    <w:p w14:paraId="0E6DEC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宋体" w:hAnsi="宋体" w:eastAsia="宋体" w:cs="宋体"/>
          <w:b/>
          <w:bCs/>
          <w:color w:val="FF0000"/>
          <w:kern w:val="0"/>
          <w:sz w:val="44"/>
          <w:szCs w:val="44"/>
          <w:lang w:val="en-US" w:eastAsia="zh-CN" w:bidi="ar"/>
        </w:rPr>
      </w:pPr>
    </w:p>
    <w:p w14:paraId="0F3766B7">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bookmarkStart w:id="1" w:name="_GoBack"/>
      <w:r>
        <w:rPr>
          <w:rFonts w:hint="eastAsia" w:ascii="宋体" w:hAnsi="宋体" w:eastAsia="宋体" w:cs="宋体"/>
          <w:sz w:val="24"/>
          <w:szCs w:val="24"/>
          <w:lang w:val="en-US" w:eastAsia="zh-CN"/>
        </w:rPr>
        <w:t>一、适用情形</w:t>
      </w:r>
    </w:p>
    <w:p w14:paraId="40A6ECF9">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按照税法有关规定，纳税人需要办理综合所得年度汇算，且汇算地在本省范围内，不方便通过自然人电子税务局（个人所得税</w:t>
      </w:r>
      <w:r>
        <w:rPr>
          <w:rFonts w:ascii="宋体" w:hAnsi="宋体" w:eastAsia="宋体" w:cs="宋体"/>
          <w:bCs/>
          <w:sz w:val="24"/>
          <w:szCs w:val="24"/>
        </w:rPr>
        <w:t>APP、WEB端）或办税服务厅办理年度汇算申报，可以通过邮寄申报办理个人所得税综合所得年度申报。</w:t>
      </w:r>
    </w:p>
    <w:p w14:paraId="500320E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二、文件依据</w:t>
      </w:r>
    </w:p>
    <w:p w14:paraId="602D7A10">
      <w:pPr>
        <w:pageBreakBefore w:val="0"/>
        <w:kinsoku/>
        <w:wordWrap/>
        <w:bidi w:val="0"/>
        <w:snapToGrid/>
        <w:spacing w:before="157" w:beforeLines="50" w:after="120" w:line="360" w:lineRule="auto"/>
        <w:ind w:firstLine="420" w:firstLineChars="200"/>
        <w:rPr>
          <w:rFonts w:hint="eastAsia" w:ascii="宋体" w:hAnsi="宋体" w:eastAsia="宋体" w:cs="宋体"/>
          <w:bCs/>
          <w:sz w:val="24"/>
          <w:szCs w:val="24"/>
        </w:rPr>
      </w:pPr>
      <w:r>
        <w:rPr>
          <w:rFonts w:hint="eastAsia" w:ascii="宋体" w:hAnsi="宋体" w:eastAsia="宋体" w:cs="宋体"/>
          <w:sz w:val="21"/>
          <w:szCs w:val="21"/>
        </w:rPr>
        <w:t>1.</w:t>
      </w:r>
      <w:r>
        <w:rPr>
          <w:rFonts w:hint="eastAsia" w:ascii="宋体" w:hAnsi="宋体" w:eastAsia="宋体" w:cs="宋体"/>
          <w:bCs/>
          <w:sz w:val="24"/>
          <w:szCs w:val="24"/>
        </w:rPr>
        <w:t>《国家税务总局关于个人所得税自行申报有关问题的公告》（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"https://ssfb86.com/index/News/detail/newsid/241.html"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国家税务总局公告2018年第62号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2A5A9EB5">
      <w:pPr>
        <w:pageBreakBefore w:val="0"/>
        <w:widowControl/>
        <w:kinsoku/>
        <w:wordWrap/>
        <w:bidi w:val="0"/>
        <w:snapToGrid/>
        <w:spacing w:before="157" w:beforeLines="50" w:after="120"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kern w:val="0"/>
          <w:sz w:val="24"/>
          <w:szCs w:val="24"/>
        </w:rPr>
        <w:t>《</w:t>
      </w:r>
      <w:r>
        <w:rPr>
          <w:rFonts w:hint="eastAsia" w:ascii="宋体" w:hAnsi="宋体" w:eastAsia="宋体" w:cs="宋体"/>
          <w:bCs/>
          <w:sz w:val="24"/>
          <w:szCs w:val="24"/>
        </w:rPr>
        <w:t>国家税务总局关于修订个人所得税申报表的公告</w:t>
      </w:r>
      <w:r>
        <w:rPr>
          <w:rFonts w:hint="eastAsia" w:ascii="宋体" w:hAnsi="宋体" w:eastAsia="宋体" w:cs="宋体"/>
          <w:bCs/>
          <w:kern w:val="0"/>
          <w:sz w:val="24"/>
          <w:szCs w:val="24"/>
        </w:rPr>
        <w:t>》（</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"https://ssfb86.com/index/News/detail/newsid/222.html"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国家税务总局公告2019年第7号</w:t>
      </w:r>
      <w:r>
        <w:rPr>
          <w:rFonts w:hint="eastAsia" w:ascii="宋体" w:hAnsi="宋体" w:eastAsia="宋体" w:cs="宋体"/>
          <w:bCs/>
          <w:sz w:val="24"/>
          <w:szCs w:val="24"/>
        </w:rPr>
        <w:fldChar w:fldCharType="end"/>
      </w:r>
      <w:r>
        <w:rPr>
          <w:rFonts w:hint="eastAsia" w:ascii="宋体" w:hAnsi="宋体" w:eastAsia="宋体" w:cs="宋体"/>
          <w:bCs/>
          <w:kern w:val="0"/>
          <w:sz w:val="24"/>
          <w:szCs w:val="24"/>
        </w:rPr>
        <w:t>）</w:t>
      </w:r>
    </w:p>
    <w:p w14:paraId="4AB49A9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.《国家税务总局关于修订部分个人所得税申报表的公告》（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"https://ssfb86.com/index/News/detail/newsid/85.html"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国家税务总局公告2019年第46号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17775024">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.《财政部 税务总局关于境外所得有关个人所得税政策的公告》（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"https://ssfb86.com/index/News/detail/newsid/59.html"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财政部 税务总局公告2020年第3号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4FB2C27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.《国家税务总局关于办理2022年度个人所得税综合所得汇算清缴事项的公告》（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"https://ssfb86.com/index/News/detail/newsid/12103.html"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总局公告2023年第3号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0AA0D8E4">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.《国务院关于提高个人所得税有关专项附加扣除标准的通知》（</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"https://ssfb86.com/index/News/detail/newsid/13232.html"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国发〔2023〕13号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052E227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.《国家税务总局关于贯彻执行提高个人所得税有关专项附加扣除标准政策的公告》（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"https://ssfb86.com/index/News/detail/newsid/13233.html"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国家税务总局公告2023年第14号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63987450">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.《财政部 税务总局关于延续实施全年一次性奖金个人所得税政策的公告》（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"https://ssfb86.com/index/News/detail/newsid/13216.html"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财政部 税务总局公告2023年第30号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3B339EE5">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.《财政部 税务总局关于延续实施个人所得税综合所得汇算清缴有关政策的公告》（</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"https://ssfb86.com/index/News/detail/newsid/13217.html" </w:instrText>
      </w:r>
      <w:r>
        <w:rPr>
          <w:rFonts w:hint="eastAsia" w:ascii="宋体" w:hAnsi="宋体" w:eastAsia="宋体" w:cs="宋体"/>
          <w:bCs/>
          <w:sz w:val="24"/>
          <w:szCs w:val="24"/>
        </w:rPr>
        <w:fldChar w:fldCharType="separate"/>
      </w:r>
      <w:r>
        <w:rPr>
          <w:rStyle w:val="9"/>
          <w:rFonts w:hint="eastAsia" w:ascii="宋体" w:hAnsi="宋体" w:eastAsia="宋体" w:cs="宋体"/>
          <w:bCs/>
          <w:sz w:val="24"/>
          <w:szCs w:val="24"/>
        </w:rPr>
        <w:t>财政部 税务总局公告2023年第32号</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17973C1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个人所得税综合所得汇算清缴管理办法</w:t>
      </w:r>
      <w:r>
        <w:rPr>
          <w:rFonts w:hint="eastAsia" w:ascii="宋体" w:hAnsi="宋体" w:eastAsia="宋体" w:cs="宋体"/>
          <w:bCs/>
          <w:sz w:val="24"/>
          <w:szCs w:val="24"/>
          <w:lang w:eastAsia="zh-CN"/>
        </w:rPr>
        <w:t>（</w:t>
      </w: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"https://ssfb86.com/index/News/detail/newsid/16459.html" </w:instrText>
      </w:r>
      <w:r>
        <w:rPr>
          <w:rFonts w:hint="eastAsia" w:ascii="宋体" w:hAnsi="宋体" w:eastAsia="宋体" w:cs="宋体"/>
          <w:bCs/>
          <w:sz w:val="24"/>
          <w:szCs w:val="24"/>
          <w:lang w:eastAsia="zh-CN"/>
        </w:rPr>
        <w:fldChar w:fldCharType="separate"/>
      </w:r>
      <w:r>
        <w:rPr>
          <w:rStyle w:val="9"/>
          <w:rFonts w:hint="eastAsia" w:ascii="宋体" w:hAnsi="宋体" w:eastAsia="宋体" w:cs="宋体"/>
          <w:bCs/>
          <w:sz w:val="24"/>
          <w:szCs w:val="24"/>
          <w:lang w:eastAsia="zh-CN"/>
        </w:rPr>
        <w:t>国家税务总局令第57号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w:t>
      </w:r>
    </w:p>
    <w:p w14:paraId="70568C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三、相关文书及填写说明</w:t>
      </w:r>
    </w:p>
    <w:p w14:paraId="1E9543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"http://www.chinatax.gov.cn/chinatax/n363/c5184015/5184015/files/%E4%B8%AA%E4%BA%BA%E6%89%80%E5%BE%97%E7%A8%8E%E7%A8%8E%E7%8E%87%E8%A1%A8%EF%BC%88%E7%BB%BC%E5%90%88%E6%89%80%E5%BE%97%E9%80%82%E7%94%A8%EF%BC%89.pdf"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个人所得税税率表（综合所得适用）</w:t>
      </w:r>
      <w:r>
        <w:rPr>
          <w:rFonts w:hint="eastAsia" w:ascii="宋体" w:hAnsi="宋体" w:eastAsia="宋体" w:cs="宋体"/>
          <w:i w:val="0"/>
          <w:iCs w:val="0"/>
          <w:caps w:val="0"/>
          <w:color w:val="6E6E6E"/>
          <w:spacing w:val="0"/>
          <w:sz w:val="24"/>
          <w:szCs w:val="24"/>
          <w:u w:val="single"/>
          <w:shd w:val="clear" w:fill="FFFFFF"/>
        </w:rPr>
        <w:fldChar w:fldCharType="end"/>
      </w:r>
    </w:p>
    <w:p w14:paraId="50AB0F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5%B9%B4%E5%BA%A6%E8%87%AA%E8%A1%8C%E7%BA%B3%E7%A8%8E%E7%94%B3%E6%8A%A5%E8%A1%A8%EF%BC%88A%E8%A1%A8%E3%80%81%E7%AE%80%E6%98%93%E7%89%88%E3%80%81%E9%97%AE%E7%AD%94%E7%89%88%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个人所得税年度自行纳税申报表（A表、简易版、问答版）</w:t>
      </w:r>
      <w:r>
        <w:rPr>
          <w:rFonts w:hint="eastAsia" w:ascii="宋体" w:hAnsi="宋体" w:eastAsia="宋体" w:cs="宋体"/>
          <w:i w:val="0"/>
          <w:iCs w:val="0"/>
          <w:caps w:val="0"/>
          <w:color w:val="6E6E6E"/>
          <w:spacing w:val="0"/>
          <w:sz w:val="24"/>
          <w:szCs w:val="24"/>
          <w:u w:val="single"/>
          <w:shd w:val="clear" w:fill="FFFFFF"/>
        </w:rPr>
        <w:fldChar w:fldCharType="end"/>
      </w:r>
    </w:p>
    <w:p w14:paraId="7B5C4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"http://www.chinatax.gov.cn/chinatax/n363/c5184015/5184015/files/%E4%B8%AA%E4%BA%BA%E6%89%80%E5%BE%97%E7%A8%8E%E5%B9%B4%E5%BA%A6%E8%87%AA%E8%A1%8C%E7%BA%B3%E7%A8%8E%E7%94%B3%E6%8A%A5%E8%A1%A8%EF%BC%88B%E8%A1%A8%EF%BC%89.pdf"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个人所得税年度自行纳税申报表（B表）</w:t>
      </w:r>
      <w:r>
        <w:rPr>
          <w:rFonts w:hint="eastAsia" w:ascii="宋体" w:hAnsi="宋体" w:eastAsia="宋体" w:cs="宋体"/>
          <w:i w:val="0"/>
          <w:iCs w:val="0"/>
          <w:caps w:val="0"/>
          <w:color w:val="6E6E6E"/>
          <w:spacing w:val="0"/>
          <w:sz w:val="24"/>
          <w:szCs w:val="24"/>
          <w:u w:val="single"/>
          <w:shd w:val="clear" w:fill="FFFFFF"/>
        </w:rPr>
        <w:fldChar w:fldCharType="end"/>
      </w:r>
    </w:p>
    <w:p w14:paraId="124C685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四、注意事项</w:t>
      </w:r>
    </w:p>
    <w:p w14:paraId="4E959E70">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符合下列情形之一的，纳税人需办理年度汇算（具体以总局公告为准）：</w:t>
      </w:r>
    </w:p>
    <w:p w14:paraId="667392E1">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（一）已预缴税额大于年度汇算应纳税额且申请退税的；</w:t>
      </w:r>
    </w:p>
    <w:p w14:paraId="19C02708">
      <w:pPr>
        <w:pageBreakBefore w:val="0"/>
        <w:kinsoku/>
        <w:wordWrap/>
        <w:bidi w:val="0"/>
        <w:snapToGrid/>
        <w:spacing w:before="157" w:beforeLines="50" w:after="120" w:line="360" w:lineRule="auto"/>
        <w:ind w:firstLine="480" w:firstLineChars="200"/>
        <w:rPr>
          <w:rFonts w:hint="eastAsia" w:ascii="宋体" w:hAnsi="宋体" w:eastAsia="宋体" w:cs="宋体"/>
          <w:bCs/>
          <w:strike/>
          <w:sz w:val="24"/>
          <w:szCs w:val="24"/>
        </w:rPr>
      </w:pPr>
      <w:r>
        <w:rPr>
          <w:rFonts w:hint="eastAsia" w:ascii="宋体" w:hAnsi="宋体" w:eastAsia="宋体" w:cs="宋体"/>
          <w:bCs/>
          <w:sz w:val="24"/>
          <w:szCs w:val="24"/>
        </w:rPr>
        <w:t>（二）纳税年度内取得的综合所得收入超过12万元且需要补税金额超过400元的。</w:t>
      </w:r>
    </w:p>
    <w:p w14:paraId="1EB2192E">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因适用所得项目错误或者扣缴义务人未依法履行扣缴义务，造成纳税年度内少申报或者未申报综合所得的，纳税人应当依法据实办理年度汇算。</w:t>
      </w:r>
    </w:p>
    <w:p w14:paraId="6BEA8ED5">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需要办理汇算清缴的纳税人，应当在取得所得的次年3月1日至6月30日内，向任职、受雇单位所在地主管税务机关办理纳税申报，并报送《个人所得税年度自行纳税申报表》（包括：《个人所得税年度自行纳税申报表（A表）》《个人所得税年度自行纳税申报表（简易版）》《个人所得税年度自行纳税申报表（问答版）》《个人所得税年度自行纳税申报表（B表）》，纳税人根据情况选择其一）。纳税人有两处以上任职、受雇单位的，选择向其中一处任职、受雇单位所在地主管税务机关办理纳税申报；纳税人没有任职、受雇单位的，向其户籍所在地、经常居住地或者主要收入来源地的主管税务机关申报。主要收入来源地，是指一个纳税年度内向纳税人累计发放劳务报酬、稿酬及特许权使用费金额最大的扣缴义务人所在地。年度汇算期结束后，税务部门将为尚未办理申报的纳税人确定主管税务机关。</w:t>
      </w:r>
    </w:p>
    <w:p w14:paraId="72C39E84">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居民个人取得综合所得，扣缴义务人未扣缴税款的纳税申报的，按照上述规定办理。</w:t>
      </w:r>
    </w:p>
    <w:p w14:paraId="333591BC">
      <w:pPr>
        <w:pageBreakBefore w:val="0"/>
        <w:kinsoku/>
        <w:wordWrap/>
        <w:bidi w:val="0"/>
        <w:snapToGrid/>
        <w:spacing w:before="157" w:beforeLines="50" w:after="120" w:line="360" w:lineRule="auto"/>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rPr>
        <w:t>纳税人办理自行纳税申报时，应当一并报送税务机关要求报送的其他有关资料。首次申报或者个人基础信息发生变化的，还应报送《个人所得税基础信息表（B表）》。</w:t>
      </w:r>
    </w:p>
    <w:p w14:paraId="449DA24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五、涉税风险与典型案例</w:t>
      </w:r>
    </w:p>
    <w:p w14:paraId="6CF3FA15">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lang w:val="en-US" w:eastAsia="zh-CN"/>
        </w:rPr>
      </w:pPr>
      <w:r>
        <w:rPr>
          <w:rFonts w:hint="eastAsia" w:ascii="宋体" w:hAnsi="宋体" w:cs="宋体"/>
          <w:i w:val="0"/>
          <w:iCs w:val="0"/>
          <w:caps w:val="0"/>
          <w:color w:val="0000FF"/>
          <w:spacing w:val="0"/>
          <w:sz w:val="24"/>
          <w:szCs w:val="24"/>
          <w:lang w:val="en-US" w:eastAsia="zh-CN"/>
        </w:rPr>
        <w:t>整理中</w:t>
      </w:r>
    </w:p>
    <w:p w14:paraId="784805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六、办理方式</w:t>
      </w:r>
    </w:p>
    <w:p w14:paraId="309620A4">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线下</w:t>
      </w:r>
    </w:p>
    <w:p w14:paraId="318DBBF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bookmarkStart w:id="0" w:name="OLE_LINK2"/>
      <w:r>
        <w:rPr>
          <w:rFonts w:hint="eastAsia" w:ascii="宋体" w:hAnsi="宋体" w:eastAsia="宋体" w:cs="宋体"/>
          <w:b/>
          <w:sz w:val="24"/>
          <w:szCs w:val="24"/>
          <w:lang w:val="en-US" w:eastAsia="zh-CN"/>
        </w:rPr>
        <w:t>七、办理时限</w:t>
      </w:r>
    </w:p>
    <w:p w14:paraId="5CF314DE">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rPr>
        <w:t>即时办结</w:t>
      </w:r>
    </w:p>
    <w:bookmarkEnd w:id="0"/>
    <w:p w14:paraId="2DA94E3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八、操作指引</w:t>
      </w:r>
    </w:p>
    <w:p w14:paraId="49DCE3EE">
      <w:pPr>
        <w:pStyle w:val="10"/>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rPr>
      </w:pPr>
      <w:r>
        <w:rPr>
          <w:rFonts w:hint="eastAsia" w:ascii="宋体" w:hAnsi="宋体" w:cs="宋体"/>
          <w:sz w:val="24"/>
          <w:szCs w:val="24"/>
        </w:rPr>
        <w:t>纳税人邮寄提交相应申报材料，提出居民综合所得个人所得税年度自行申报（邮寄申报）申请。</w:t>
      </w:r>
    </w:p>
    <w:p w14:paraId="16754B3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pPr>
      <w:r>
        <w:rPr>
          <w:rFonts w:hint="eastAsia" w:ascii="宋体" w:hAnsi="宋体" w:eastAsia="宋体" w:cs="宋体"/>
          <w:b/>
          <w:sz w:val="24"/>
          <w:szCs w:val="24"/>
          <w:lang w:val="en-US" w:eastAsia="zh-CN"/>
        </w:rPr>
        <w:t>九、资料处理</w:t>
      </w:r>
    </w:p>
    <w:p w14:paraId="4B1923CF">
      <w:pPr>
        <w:keepNext/>
        <w:pageBreakBefore w:val="0"/>
        <w:tabs>
          <w:tab w:val="center" w:pos="4200"/>
        </w:tabs>
        <w:kinsoku/>
        <w:wordWrap/>
        <w:bidi w:val="0"/>
        <w:snapToGrid/>
        <w:spacing w:before="157" w:beforeLines="50" w:after="157" w:afterLines="50" w:line="360" w:lineRule="auto"/>
        <w:ind w:firstLine="100"/>
        <w:jc w:val="center"/>
        <w:outlineLvl w:val="0"/>
        <w:rPr>
          <w:rFonts w:ascii="宋体" w:hAnsi="宋体" w:eastAsia="宋体" w:cs="宋体"/>
          <w:b/>
          <w:kern w:val="0"/>
          <w:sz w:val="24"/>
          <w:szCs w:val="24"/>
        </w:rPr>
      </w:pPr>
      <w:r>
        <w:rPr>
          <w:rFonts w:hint="eastAsia" w:ascii="宋体" w:hAnsi="宋体" w:eastAsia="宋体" w:cs="宋体"/>
          <w:b/>
          <w:kern w:val="0"/>
          <w:sz w:val="24"/>
          <w:szCs w:val="24"/>
        </w:rPr>
        <w:t>居民综合所得个人所得税年度自行申报（邮寄申报）报送资料清单</w:t>
      </w:r>
    </w:p>
    <w:tbl>
      <w:tblPr>
        <w:tblStyle w:val="7"/>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6F1A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noWrap w:val="0"/>
            <w:vAlign w:val="center"/>
          </w:tcPr>
          <w:p w14:paraId="5F3FDAD4">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4139" w:type="dxa"/>
            <w:noWrap w:val="0"/>
            <w:vAlign w:val="center"/>
          </w:tcPr>
          <w:p w14:paraId="0E7D12F6">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报送资料名称</w:t>
            </w:r>
          </w:p>
        </w:tc>
        <w:tc>
          <w:tcPr>
            <w:tcW w:w="624" w:type="dxa"/>
            <w:noWrap w:val="0"/>
            <w:vAlign w:val="center"/>
          </w:tcPr>
          <w:p w14:paraId="043161C1">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必报</w:t>
            </w:r>
          </w:p>
        </w:tc>
        <w:tc>
          <w:tcPr>
            <w:tcW w:w="624" w:type="dxa"/>
            <w:noWrap w:val="0"/>
            <w:vAlign w:val="center"/>
          </w:tcPr>
          <w:p w14:paraId="755710E0">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条件报送</w:t>
            </w:r>
          </w:p>
        </w:tc>
        <w:tc>
          <w:tcPr>
            <w:tcW w:w="624" w:type="dxa"/>
            <w:noWrap w:val="0"/>
            <w:vAlign w:val="center"/>
          </w:tcPr>
          <w:p w14:paraId="26DE6891">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归档</w:t>
            </w:r>
          </w:p>
        </w:tc>
        <w:tc>
          <w:tcPr>
            <w:tcW w:w="624" w:type="dxa"/>
            <w:noWrap w:val="0"/>
            <w:vAlign w:val="center"/>
          </w:tcPr>
          <w:p w14:paraId="736B1486">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查验</w:t>
            </w:r>
          </w:p>
        </w:tc>
        <w:tc>
          <w:tcPr>
            <w:tcW w:w="624" w:type="dxa"/>
            <w:noWrap w:val="0"/>
            <w:vAlign w:val="center"/>
          </w:tcPr>
          <w:p w14:paraId="6B5B9476">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代保管</w:t>
            </w:r>
          </w:p>
        </w:tc>
        <w:tc>
          <w:tcPr>
            <w:tcW w:w="624" w:type="dxa"/>
            <w:noWrap w:val="0"/>
            <w:vAlign w:val="center"/>
          </w:tcPr>
          <w:p w14:paraId="4207B943">
            <w:pPr>
              <w:pageBreakBefore w:val="0"/>
              <w:kinsoku/>
              <w:wordWrap/>
              <w:bidi w:val="0"/>
              <w:snapToGrid/>
              <w:spacing w:before="157" w:beforeLines="50" w:after="157" w:afterLines="50" w:line="360" w:lineRule="auto"/>
              <w:jc w:val="center"/>
              <w:rPr>
                <w:rFonts w:ascii="宋体" w:hAnsi="宋体" w:eastAsia="宋体" w:cs="宋体"/>
                <w:b/>
                <w:sz w:val="24"/>
                <w:szCs w:val="24"/>
              </w:rPr>
            </w:pPr>
            <w:r>
              <w:rPr>
                <w:rFonts w:hint="eastAsia" w:ascii="宋体" w:hAnsi="宋体" w:eastAsia="宋体" w:cs="宋体"/>
                <w:b/>
                <w:sz w:val="24"/>
                <w:szCs w:val="24"/>
              </w:rPr>
              <w:t>核销</w:t>
            </w:r>
          </w:p>
        </w:tc>
      </w:tr>
      <w:tr w14:paraId="596AE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49FE89C1">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139" w:type="dxa"/>
            <w:noWrap w:val="0"/>
            <w:vAlign w:val="center"/>
          </w:tcPr>
          <w:p w14:paraId="4A2F65E6">
            <w:pPr>
              <w:pageBreakBefore w:val="0"/>
              <w:kinsoku/>
              <w:wordWrap/>
              <w:bidi w:val="0"/>
              <w:snapToGrid/>
              <w:spacing w:before="157" w:beforeLines="50" w:after="157" w:afterLines="50" w:line="360" w:lineRule="auto"/>
              <w:rPr>
                <w:rFonts w:ascii="宋体" w:hAnsi="宋体" w:eastAsia="宋体" w:cs="宋体"/>
                <w:sz w:val="24"/>
                <w:szCs w:val="24"/>
              </w:rPr>
            </w:pPr>
            <w:r>
              <w:rPr>
                <w:rFonts w:hint="eastAsia" w:ascii="宋体" w:hAnsi="宋体" w:eastAsia="宋体" w:cs="宋体"/>
                <w:sz w:val="24"/>
                <w:szCs w:val="24"/>
              </w:rPr>
              <w:t>《个人所得税年度自行纳税申报表（A表）》《个人所得税年度自行纳税申报表（简易版）》《个人所得税年度自行纳税申报表（问答版）》《个人所得税年度自行纳税申报表（B表）》之一</w:t>
            </w:r>
          </w:p>
        </w:tc>
        <w:tc>
          <w:tcPr>
            <w:tcW w:w="624" w:type="dxa"/>
            <w:noWrap w:val="0"/>
            <w:vAlign w:val="center"/>
          </w:tcPr>
          <w:p w14:paraId="78099D1A">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center"/>
          </w:tcPr>
          <w:p w14:paraId="2D49C7AE">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3FBC0718">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center"/>
          </w:tcPr>
          <w:p w14:paraId="179C40A4">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49800666">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296B1A7E">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536E5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top"/>
          </w:tcPr>
          <w:p w14:paraId="44660134">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4139" w:type="dxa"/>
            <w:noWrap w:val="0"/>
            <w:vAlign w:val="top"/>
          </w:tcPr>
          <w:p w14:paraId="4F074CA0">
            <w:pPr>
              <w:pageBreakBefore w:val="0"/>
              <w:kinsoku/>
              <w:wordWrap/>
              <w:bidi w:val="0"/>
              <w:snapToGrid/>
              <w:spacing w:before="157" w:beforeLines="50" w:after="157" w:afterLines="50" w:line="360" w:lineRule="auto"/>
              <w:jc w:val="left"/>
              <w:rPr>
                <w:rFonts w:ascii="宋体" w:hAnsi="宋体" w:eastAsia="宋体" w:cs="宋体"/>
                <w:sz w:val="24"/>
                <w:szCs w:val="24"/>
              </w:rPr>
            </w:pPr>
            <w:r>
              <w:rPr>
                <w:rFonts w:hint="eastAsia" w:ascii="宋体" w:hAnsi="宋体" w:eastAsia="宋体" w:cs="宋体"/>
                <w:sz w:val="24"/>
                <w:szCs w:val="24"/>
              </w:rPr>
              <w:t>《个人所得税专项附加扣除信息表》</w:t>
            </w:r>
          </w:p>
        </w:tc>
        <w:tc>
          <w:tcPr>
            <w:tcW w:w="624" w:type="dxa"/>
            <w:noWrap w:val="0"/>
            <w:vAlign w:val="top"/>
          </w:tcPr>
          <w:p w14:paraId="31C6268C">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2864AD3F">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70DC07A2">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6861842B">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6947A78B">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317D4673">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6FF2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24" w:type="dxa"/>
            <w:noWrap w:val="0"/>
            <w:vAlign w:val="top"/>
          </w:tcPr>
          <w:p w14:paraId="7E6FAC74">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4139" w:type="dxa"/>
            <w:noWrap w:val="0"/>
            <w:vAlign w:val="top"/>
          </w:tcPr>
          <w:p w14:paraId="1AFBB12F">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《个人所得税减免税事项报告表》</w:t>
            </w:r>
          </w:p>
        </w:tc>
        <w:tc>
          <w:tcPr>
            <w:tcW w:w="624" w:type="dxa"/>
            <w:noWrap w:val="0"/>
            <w:vAlign w:val="top"/>
          </w:tcPr>
          <w:p w14:paraId="20DCA1F6">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573677C1">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6CB19DEC">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1DA021A5">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58A3A065">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18B3C61F">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7D752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24" w:type="dxa"/>
            <w:noWrap w:val="0"/>
            <w:vAlign w:val="top"/>
          </w:tcPr>
          <w:p w14:paraId="6C9F82DE">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4139" w:type="dxa"/>
            <w:noWrap w:val="0"/>
            <w:vAlign w:val="top"/>
          </w:tcPr>
          <w:p w14:paraId="6EE5466B">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《境外所得个人所得税抵免明细表》</w:t>
            </w:r>
          </w:p>
        </w:tc>
        <w:tc>
          <w:tcPr>
            <w:tcW w:w="624" w:type="dxa"/>
            <w:noWrap w:val="0"/>
            <w:vAlign w:val="top"/>
          </w:tcPr>
          <w:p w14:paraId="0CA97306">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497CCC7C">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489A05C7">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03741469">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7C5771AB">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5EB65718">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1E6FE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24" w:type="dxa"/>
            <w:noWrap w:val="0"/>
            <w:vAlign w:val="top"/>
          </w:tcPr>
          <w:p w14:paraId="45F5042A">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4139" w:type="dxa"/>
            <w:noWrap w:val="0"/>
            <w:vAlign w:val="top"/>
          </w:tcPr>
          <w:p w14:paraId="611773AE">
            <w:pPr>
              <w:pageBreakBefore w:val="0"/>
              <w:kinsoku/>
              <w:wordWrap/>
              <w:bidi w:val="0"/>
              <w:snapToGrid/>
              <w:spacing w:before="157" w:beforeLines="50" w:after="157" w:afterLines="50" w:line="360" w:lineRule="auto"/>
              <w:jc w:val="left"/>
              <w:rPr>
                <w:rFonts w:hint="eastAsia" w:ascii="宋体" w:hAnsi="宋体" w:eastAsia="宋体" w:cs="宋体"/>
                <w:sz w:val="24"/>
                <w:szCs w:val="24"/>
              </w:rPr>
            </w:pPr>
            <w:r>
              <w:rPr>
                <w:rFonts w:hint="eastAsia" w:ascii="宋体" w:hAnsi="宋体" w:eastAsia="宋体" w:cs="宋体"/>
                <w:sz w:val="24"/>
                <w:szCs w:val="24"/>
              </w:rPr>
              <w:t>《商业健康保险税前扣除情况明细表》</w:t>
            </w:r>
          </w:p>
        </w:tc>
        <w:tc>
          <w:tcPr>
            <w:tcW w:w="624" w:type="dxa"/>
            <w:noWrap w:val="0"/>
            <w:vAlign w:val="top"/>
          </w:tcPr>
          <w:p w14:paraId="17EC7B56">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025D77FD">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2027F1E7">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471AA0C3">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175FBE37">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35E6C56D">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175AF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24" w:type="dxa"/>
            <w:noWrap w:val="0"/>
            <w:vAlign w:val="center"/>
          </w:tcPr>
          <w:p w14:paraId="72653CC8">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4139" w:type="dxa"/>
            <w:noWrap w:val="0"/>
            <w:vAlign w:val="center"/>
          </w:tcPr>
          <w:p w14:paraId="57927E2A">
            <w:pPr>
              <w:pageBreakBefore w:val="0"/>
              <w:kinsoku/>
              <w:wordWrap/>
              <w:bidi w:val="0"/>
              <w:snapToGrid/>
              <w:spacing w:before="157" w:beforeLines="50" w:after="157" w:afterLines="50" w:line="360" w:lineRule="auto"/>
              <w:rPr>
                <w:rFonts w:ascii="宋体" w:hAnsi="宋体" w:eastAsia="宋体" w:cs="宋体"/>
                <w:sz w:val="24"/>
                <w:szCs w:val="24"/>
              </w:rPr>
            </w:pPr>
            <w:r>
              <w:rPr>
                <w:rFonts w:hint="eastAsia" w:ascii="宋体" w:hAnsi="宋体" w:eastAsia="宋体" w:cs="宋体"/>
                <w:sz w:val="24"/>
                <w:szCs w:val="24"/>
              </w:rPr>
              <w:t>《个人税收递延型商业养老保险税前扣除情况明细表》</w:t>
            </w:r>
          </w:p>
        </w:tc>
        <w:tc>
          <w:tcPr>
            <w:tcW w:w="624" w:type="dxa"/>
            <w:noWrap w:val="0"/>
            <w:vAlign w:val="center"/>
          </w:tcPr>
          <w:p w14:paraId="5C43983A">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6D1E2F9F">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center"/>
          </w:tcPr>
          <w:p w14:paraId="64C6C067">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center"/>
          </w:tcPr>
          <w:p w14:paraId="2FE91543">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2649CC38">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center"/>
          </w:tcPr>
          <w:p w14:paraId="4C1FC1BD">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r w14:paraId="42459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24" w:type="dxa"/>
            <w:noWrap w:val="0"/>
            <w:vAlign w:val="top"/>
          </w:tcPr>
          <w:p w14:paraId="684C6592">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4139" w:type="dxa"/>
            <w:noWrap w:val="0"/>
            <w:vAlign w:val="top"/>
          </w:tcPr>
          <w:p w14:paraId="1AECDF1A">
            <w:pPr>
              <w:pageBreakBefore w:val="0"/>
              <w:kinsoku/>
              <w:wordWrap/>
              <w:bidi w:val="0"/>
              <w:snapToGrid/>
              <w:spacing w:before="157" w:beforeLines="50" w:after="157" w:afterLines="50" w:line="360" w:lineRule="auto"/>
              <w:jc w:val="left"/>
              <w:rPr>
                <w:rFonts w:ascii="宋体" w:hAnsi="宋体" w:eastAsia="宋体" w:cs="宋体"/>
                <w:sz w:val="24"/>
                <w:szCs w:val="24"/>
              </w:rPr>
            </w:pPr>
            <w:r>
              <w:rPr>
                <w:rFonts w:hint="eastAsia" w:ascii="宋体" w:hAnsi="宋体" w:eastAsia="宋体" w:cs="宋体"/>
                <w:sz w:val="24"/>
                <w:szCs w:val="24"/>
              </w:rPr>
              <w:t>《个人所得税公益慈善事业捐赠扣除明细表》</w:t>
            </w:r>
          </w:p>
        </w:tc>
        <w:tc>
          <w:tcPr>
            <w:tcW w:w="624" w:type="dxa"/>
            <w:noWrap w:val="0"/>
            <w:vAlign w:val="top"/>
          </w:tcPr>
          <w:p w14:paraId="53B35BBB">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28304586">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3628ACBE">
            <w:pPr>
              <w:pageBreakBefore w:val="0"/>
              <w:kinsoku/>
              <w:wordWrap/>
              <w:bidi w:val="0"/>
              <w:snapToGrid/>
              <w:spacing w:before="157" w:beforeLines="50" w:after="157" w:afterLines="50"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624" w:type="dxa"/>
            <w:noWrap w:val="0"/>
            <w:vAlign w:val="top"/>
          </w:tcPr>
          <w:p w14:paraId="2CF8E07F">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0ED41E1A">
            <w:pPr>
              <w:pageBreakBefore w:val="0"/>
              <w:kinsoku/>
              <w:wordWrap/>
              <w:bidi w:val="0"/>
              <w:snapToGrid/>
              <w:spacing w:before="157" w:beforeLines="50" w:after="157" w:afterLines="50" w:line="360" w:lineRule="auto"/>
              <w:jc w:val="center"/>
              <w:rPr>
                <w:rFonts w:ascii="宋体" w:hAnsi="宋体" w:eastAsia="宋体" w:cs="宋体"/>
                <w:sz w:val="24"/>
                <w:szCs w:val="24"/>
              </w:rPr>
            </w:pPr>
          </w:p>
        </w:tc>
        <w:tc>
          <w:tcPr>
            <w:tcW w:w="624" w:type="dxa"/>
            <w:noWrap w:val="0"/>
            <w:vAlign w:val="top"/>
          </w:tcPr>
          <w:p w14:paraId="00EC99A1">
            <w:pPr>
              <w:pageBreakBefore w:val="0"/>
              <w:kinsoku/>
              <w:wordWrap/>
              <w:bidi w:val="0"/>
              <w:snapToGrid/>
              <w:spacing w:before="157" w:beforeLines="50" w:after="157" w:afterLines="50" w:line="360" w:lineRule="auto"/>
              <w:jc w:val="center"/>
              <w:rPr>
                <w:rFonts w:ascii="宋体" w:hAnsi="宋体" w:eastAsia="宋体" w:cs="宋体"/>
                <w:sz w:val="24"/>
                <w:szCs w:val="24"/>
              </w:rPr>
            </w:pPr>
          </w:p>
        </w:tc>
      </w:tr>
    </w:tbl>
    <w:p w14:paraId="6ABF42BF">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上述条件报送资料的报送条件为：</w:t>
      </w:r>
    </w:p>
    <w:p w14:paraId="149C6834">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没有取得境外所得的居民个人，根据不同情况，选择报送《个人所得税年度自行纳税申报表（A表）》《个人所得税年度自行纳税申报表（简易版）》《个人所得税年度自行纳税申报表（问答版）》；取得境外所得的居民个人，报送《个人所得税年度自行纳税申报表（B表）》及《境外所得个人所得税抵免明细表》。</w:t>
      </w:r>
    </w:p>
    <w:p w14:paraId="5714138A">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2.选择在汇算清缴申报时享受专项附加扣除的，应报送《个人所得税专项附加扣除信息表》。</w:t>
      </w:r>
    </w:p>
    <w:p w14:paraId="51D8A85B">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3.纳税人纳税申报时存在减免个人所得税情形的，应报送《个人所得税减免税事项报告表》。</w:t>
      </w:r>
    </w:p>
    <w:p w14:paraId="17D5EED3">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4.《商业健康保险税前扣除情况明细表》：个人自行购买、单位统一组织为员工购买或者单位和个人共同负担购买符合规定的商业健康保险产品扣缴义务人申报时报送。</w:t>
      </w:r>
    </w:p>
    <w:p w14:paraId="0202BFA2">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5.《个人税收递延型商业养老保险税前扣除情况明细表》：个人自行购买、单位统一组织为员工购买或者单位和个人共同负担购买符合规定的商业养老保险产品扣缴义务人申报时报送。</w:t>
      </w:r>
    </w:p>
    <w:p w14:paraId="2B561D07">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6.《个人所得税公益慈善事业捐赠扣除明细表》：对公益慈善事业的捐赠时报送。</w:t>
      </w:r>
    </w:p>
    <w:p w14:paraId="43DDED61">
      <w:pPr>
        <w:pageBreakBefore w:val="0"/>
        <w:kinsoku/>
        <w:wordWrap/>
        <w:bidi w:val="0"/>
        <w:snapToGrid/>
        <w:spacing w:before="157" w:beforeLines="50" w:after="157" w:afterLines="50" w:line="360" w:lineRule="auto"/>
        <w:rPr>
          <w:sz w:val="24"/>
          <w:szCs w:val="24"/>
        </w:rPr>
      </w:pPr>
    </w:p>
    <w:bookmarkEnd w:id="1"/>
    <w:p w14:paraId="1C7FAC0B">
      <w:pPr>
        <w:pageBreakBefore w:val="0"/>
        <w:kinsoku/>
        <w:wordWrap/>
        <w:bidi w:val="0"/>
        <w:snapToGrid/>
        <w:spacing w:before="157" w:beforeLines="50" w:after="157" w:afterLines="50"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B0C93"/>
    <w:rsid w:val="41264484"/>
    <w:rsid w:val="41EC485C"/>
    <w:rsid w:val="443346AD"/>
    <w:rsid w:val="56024D1F"/>
    <w:rsid w:val="666176C6"/>
    <w:rsid w:val="698772AB"/>
    <w:rsid w:val="6E141346"/>
    <w:rsid w:val="72D76109"/>
    <w:rsid w:val="73A135F5"/>
    <w:rsid w:val="75DD56E1"/>
    <w:rsid w:val="786C0988"/>
    <w:rsid w:val="7A6962C7"/>
    <w:rsid w:val="7FFC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2056</Words>
  <Characters>2131</Characters>
  <Lines>0</Lines>
  <Paragraphs>0</Paragraphs>
  <TotalTime>3</TotalTime>
  <ScaleCrop>false</ScaleCrop>
  <LinksUpToDate>false</LinksUpToDate>
  <CharactersWithSpaces>2139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2025-02-27T06:44:00Z</dcterms:created>
  <dc:creator>tsuser</dc:creator>
  <cp:lastModifiedBy>默默</cp:lastModifiedBy>
  <dcterms:modified xsi:type="dcterms:W3CDTF">2025-07-10T06:06:21Z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FA620ED76E1C45CAADB55146D4EF472E_12</vt:lpwstr>
  </property>
</Properties>
</file>