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F2531">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4.4  居民分类所得申报——420</w:t>
      </w:r>
    </w:p>
    <w:p w14:paraId="352E33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jc w:val="center"/>
        <w:textAlignment w:val="auto"/>
        <w:rPr>
          <w:rFonts w:hint="eastAsia" w:ascii="宋体" w:hAnsi="宋体" w:eastAsia="宋体" w:cs="宋体"/>
          <w:b/>
          <w:bCs/>
          <w:color w:val="FF0000"/>
          <w:kern w:val="0"/>
          <w:sz w:val="44"/>
          <w:szCs w:val="44"/>
          <w:lang w:val="en-US" w:eastAsia="zh-CN" w:bidi="ar"/>
        </w:rPr>
      </w:pPr>
    </w:p>
    <w:p w14:paraId="291CD1A6">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lang w:val="en-US" w:eastAsia="zh-CN"/>
        </w:rPr>
      </w:pPr>
      <w:bookmarkStart w:id="2" w:name="_GoBack"/>
      <w:r>
        <w:rPr>
          <w:rFonts w:hint="eastAsia" w:ascii="宋体" w:hAnsi="宋体" w:eastAsia="宋体" w:cs="宋体"/>
          <w:sz w:val="24"/>
          <w:szCs w:val="24"/>
          <w:lang w:val="en-US" w:eastAsia="zh-CN"/>
        </w:rPr>
        <w:t>一、适用情形</w:t>
      </w:r>
    </w:p>
    <w:p w14:paraId="66609428">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居民个人取得利息、股息、红利所得、财产租赁所得、财产转让所得、偶然所得等应税所得，有扣缴义务人未扣缴税款或者国务院规定的其他情形时，应自行申报纳税，向税务机关报送《个人所得税自行纳税申报表（A表）》及税务机关要求报送的其他有关资料。</w:t>
      </w:r>
    </w:p>
    <w:p w14:paraId="46BBC3EB">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二、文件依据</w:t>
      </w:r>
    </w:p>
    <w:p w14:paraId="11867C31">
      <w:pPr>
        <w:pageBreakBefore w:val="0"/>
        <w:kinsoku/>
        <w:wordWrap/>
        <w:bidi w:val="0"/>
        <w:snapToGrid/>
        <w:spacing w:before="157" w:beforeLines="50" w:after="120" w:line="360" w:lineRule="auto"/>
        <w:ind w:firstLine="420" w:firstLineChars="200"/>
        <w:rPr>
          <w:rFonts w:hint="eastAsia" w:ascii="宋体" w:hAnsi="宋体" w:eastAsia="宋体" w:cs="宋体"/>
          <w:bCs/>
          <w:sz w:val="24"/>
          <w:szCs w:val="24"/>
        </w:rPr>
      </w:pPr>
      <w:r>
        <w:rPr>
          <w:rFonts w:hint="eastAsia" w:ascii="宋体" w:hAnsi="宋体" w:eastAsia="宋体" w:cs="宋体"/>
          <w:sz w:val="21"/>
          <w:szCs w:val="21"/>
        </w:rPr>
        <w:t>1.</w:t>
      </w:r>
      <w:r>
        <w:rPr>
          <w:rFonts w:hint="eastAsia" w:ascii="宋体" w:hAnsi="宋体" w:eastAsia="宋体" w:cs="宋体"/>
          <w:bCs/>
          <w:sz w:val="24"/>
          <w:szCs w:val="24"/>
        </w:rPr>
        <w:t>《国家税务总局关于个人所得税自行申报有关问题的公告》（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"https://ssfb86.com/index/News/detail/newsid/241.html"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国家税务总局公告2018年第62号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519606D2">
      <w:pPr>
        <w:pageBreakBefore w:val="0"/>
        <w:widowControl/>
        <w:kinsoku/>
        <w:wordWrap/>
        <w:bidi w:val="0"/>
        <w:snapToGrid/>
        <w:spacing w:before="157" w:beforeLines="50" w:after="120"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eastAsia="宋体" w:cs="宋体"/>
          <w:bCs/>
          <w:kern w:val="0"/>
          <w:sz w:val="24"/>
          <w:szCs w:val="24"/>
        </w:rPr>
        <w:t>《</w:t>
      </w:r>
      <w:r>
        <w:rPr>
          <w:rFonts w:hint="eastAsia" w:ascii="宋体" w:hAnsi="宋体" w:eastAsia="宋体" w:cs="宋体"/>
          <w:bCs/>
          <w:sz w:val="24"/>
          <w:szCs w:val="24"/>
        </w:rPr>
        <w:t>国家税务总局关于修订个人所得税申报表的公告</w:t>
      </w:r>
      <w:r>
        <w:rPr>
          <w:rFonts w:hint="eastAsia" w:ascii="宋体" w:hAnsi="宋体" w:eastAsia="宋体" w:cs="宋体"/>
          <w:bCs/>
          <w:kern w:val="0"/>
          <w:sz w:val="24"/>
          <w:szCs w:val="24"/>
        </w:rPr>
        <w:t>》（</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"https://ssfb86.com/index/News/detail/newsid/222.html"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国家税务总局公告2019年第7号</w:t>
      </w:r>
      <w:r>
        <w:rPr>
          <w:rFonts w:hint="eastAsia" w:ascii="宋体" w:hAnsi="宋体" w:eastAsia="宋体" w:cs="宋体"/>
          <w:bCs/>
          <w:sz w:val="24"/>
          <w:szCs w:val="24"/>
        </w:rPr>
        <w:fldChar w:fldCharType="end"/>
      </w:r>
      <w:r>
        <w:rPr>
          <w:rFonts w:hint="eastAsia" w:ascii="宋体" w:hAnsi="宋体" w:eastAsia="宋体" w:cs="宋体"/>
          <w:bCs/>
          <w:kern w:val="0"/>
          <w:sz w:val="24"/>
          <w:szCs w:val="24"/>
        </w:rPr>
        <w:t>）</w:t>
      </w:r>
    </w:p>
    <w:p w14:paraId="7A3F172A">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.《国家税务总局关于修订部分个人所得税申报表的公告》（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"https://ssfb86.com/index/News/detail/newsid/85.html"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国家税务总局公告2019年第46号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792DB22D">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.《财政部 税务总局关于境外所得有关个人所得税政策的公告》（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"https://ssfb86.com/index/News/detail/newsid/59.html"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财政部 税务总局公告2020年第3号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66F690B9">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.《国家税务总局关于办理2022年度个人所得税综合所得汇算清缴事项的公告》（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"https://ssfb86.com/index/News/detail/newsid/12103.html"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总局公告2023年第3号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564DF69A">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.《国务院关于提高个人所得税有关专项附加扣除标准的通知》（</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"https://ssfb86.com/index/News/detail/newsid/13232.html"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国发〔2023〕13号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543C2F0F">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.《国家税务总局关于贯彻执行提高个人所得税有关专项附加扣除标准政策的公告》（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"https://ssfb86.com/index/News/detail/newsid/13233.html"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国家税务总局公告2023年第14号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557BACD5">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三、相关文书及填写说明</w:t>
      </w:r>
    </w:p>
    <w:p w14:paraId="5CBEAC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6E6E6E"/>
          <w:spacing w:val="0"/>
          <w:sz w:val="24"/>
          <w:szCs w:val="24"/>
          <w:u w:val="single"/>
          <w:shd w:val="clear" w:fill="FFFFFF"/>
        </w:rPr>
        <w:fldChar w:fldCharType="begin"/>
      </w:r>
      <w:r>
        <w:rPr>
          <w:rFonts w:hint="eastAsia" w:ascii="宋体" w:hAnsi="宋体" w:eastAsia="宋体" w:cs="宋体"/>
          <w:i w:val="0"/>
          <w:iCs w:val="0"/>
          <w:caps w:val="0"/>
          <w:color w:val="6E6E6E"/>
          <w:spacing w:val="0"/>
          <w:sz w:val="24"/>
          <w:szCs w:val="24"/>
          <w:u w:val="single"/>
          <w:shd w:val="clear" w:fill="FFFFFF"/>
        </w:rPr>
        <w:instrText xml:space="preserve"> HYPERLINK "http://www.chinatax.gov.cn/chinatax/n363/c5184015/5184015/files/%E4%B8%AA%E4%BA%BA%E6%89%80%E5%BE%97%E7%A8%8E%E5%B9%B4%E5%BA%A6%E8%87%AA%E8%A1%8C%E7%BA%B3%E7%A8%8E%E7%94%B3%E6%8A%A5%E8%A1%A8%EF%BC%88A%E8%A1%A8%E3%80%81%E7%AE%80%E6%98%93%E7%89%88%E3%80%81%E9%97%AE%E7%AD%94%E7%89%88%EF%BC%89.pdf" </w:instrText>
      </w:r>
      <w:r>
        <w:rPr>
          <w:rFonts w:hint="eastAsia" w:ascii="宋体" w:hAnsi="宋体" w:eastAsia="宋体" w:cs="宋体"/>
          <w:i w:val="0"/>
          <w:iCs w:val="0"/>
          <w:caps w:val="0"/>
          <w:color w:val="6E6E6E"/>
          <w:spacing w:val="0"/>
          <w:sz w:val="24"/>
          <w:szCs w:val="24"/>
          <w:u w:val="single"/>
          <w:shd w:val="clear" w:fill="FFFFFF"/>
        </w:rPr>
        <w:fldChar w:fldCharType="separate"/>
      </w:r>
      <w:r>
        <w:rPr>
          <w:rStyle w:val="9"/>
          <w:rFonts w:hint="eastAsia" w:ascii="宋体" w:hAnsi="宋体" w:eastAsia="宋体" w:cs="宋体"/>
          <w:i w:val="0"/>
          <w:iCs w:val="0"/>
          <w:caps w:val="0"/>
          <w:color w:val="0000FF"/>
          <w:spacing w:val="0"/>
          <w:sz w:val="24"/>
          <w:szCs w:val="24"/>
          <w:u w:val="single"/>
          <w:shd w:val="clear" w:fill="FFFFFF"/>
        </w:rPr>
        <w:t>个人所得税年度自行纳税申报表（A表、简易版、问答版）</w:t>
      </w:r>
      <w:r>
        <w:rPr>
          <w:rFonts w:hint="eastAsia" w:ascii="宋体" w:hAnsi="宋体" w:eastAsia="宋体" w:cs="宋体"/>
          <w:i w:val="0"/>
          <w:iCs w:val="0"/>
          <w:caps w:val="0"/>
          <w:color w:val="6E6E6E"/>
          <w:spacing w:val="0"/>
          <w:sz w:val="24"/>
          <w:szCs w:val="24"/>
          <w:u w:val="single"/>
          <w:shd w:val="clear" w:fill="FFFFFF"/>
        </w:rPr>
        <w:fldChar w:fldCharType="end"/>
      </w:r>
    </w:p>
    <w:p w14:paraId="315BC0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66CC"/>
          <w:spacing w:val="0"/>
          <w:sz w:val="24"/>
          <w:szCs w:val="24"/>
          <w:u w:val="single"/>
          <w:shd w:val="clear" w:fill="FFFFFF"/>
        </w:rPr>
        <w:fldChar w:fldCharType="begin"/>
      </w:r>
      <w:r>
        <w:rPr>
          <w:rFonts w:hint="eastAsia" w:ascii="宋体" w:hAnsi="宋体" w:eastAsia="宋体" w:cs="宋体"/>
          <w:i w:val="0"/>
          <w:iCs w:val="0"/>
          <w:caps w:val="0"/>
          <w:color w:val="0066CC"/>
          <w:spacing w:val="0"/>
          <w:sz w:val="24"/>
          <w:szCs w:val="24"/>
          <w:u w:val="single"/>
          <w:shd w:val="clear" w:fill="FFFFFF"/>
        </w:rPr>
        <w:instrText xml:space="preserve"> HYPERLINK "https://ssfb86.com/uploadfile/file/20200514/1589459916244452.doc" \o "个人所得税减免税事项报告表.doc" </w:instrText>
      </w:r>
      <w:r>
        <w:rPr>
          <w:rFonts w:hint="eastAsia" w:ascii="宋体" w:hAnsi="宋体" w:eastAsia="宋体" w:cs="宋体"/>
          <w:i w:val="0"/>
          <w:iCs w:val="0"/>
          <w:caps w:val="0"/>
          <w:color w:val="0066CC"/>
          <w:spacing w:val="0"/>
          <w:sz w:val="24"/>
          <w:szCs w:val="24"/>
          <w:u w:val="single"/>
          <w:shd w:val="clear" w:fill="FFFFFF"/>
        </w:rPr>
        <w:fldChar w:fldCharType="separate"/>
      </w:r>
      <w:r>
        <w:rPr>
          <w:rStyle w:val="9"/>
          <w:rFonts w:hint="eastAsia" w:ascii="宋体" w:hAnsi="宋体" w:eastAsia="宋体" w:cs="宋体"/>
          <w:i w:val="0"/>
          <w:iCs w:val="0"/>
          <w:caps w:val="0"/>
          <w:color w:val="0066CC"/>
          <w:spacing w:val="0"/>
          <w:sz w:val="24"/>
          <w:szCs w:val="24"/>
          <w:u w:val="single"/>
          <w:shd w:val="clear" w:fill="FFFFFF"/>
        </w:rPr>
        <w:t>个人所得税减免税事项报告表.doc</w:t>
      </w:r>
      <w:r>
        <w:rPr>
          <w:rFonts w:hint="eastAsia" w:ascii="宋体" w:hAnsi="宋体" w:eastAsia="宋体" w:cs="宋体"/>
          <w:i w:val="0"/>
          <w:iCs w:val="0"/>
          <w:caps w:val="0"/>
          <w:color w:val="0066CC"/>
          <w:spacing w:val="0"/>
          <w:sz w:val="24"/>
          <w:szCs w:val="24"/>
          <w:u w:val="single"/>
          <w:shd w:val="clear" w:fill="FFFFFF"/>
        </w:rPr>
        <w:fldChar w:fldCharType="end"/>
      </w:r>
    </w:p>
    <w:p w14:paraId="0A2CDC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66CC"/>
          <w:spacing w:val="0"/>
          <w:sz w:val="24"/>
          <w:szCs w:val="24"/>
          <w:u w:val="single"/>
          <w:shd w:val="clear" w:fill="FFFFFF"/>
          <w:lang w:val="en-US" w:eastAsia="zh-CN"/>
        </w:rPr>
        <w:t>3.</w:t>
      </w:r>
      <w:r>
        <w:rPr>
          <w:rFonts w:hint="eastAsia" w:ascii="宋体" w:hAnsi="宋体" w:eastAsia="宋体" w:cs="宋体"/>
          <w:i w:val="0"/>
          <w:iCs w:val="0"/>
          <w:caps w:val="0"/>
          <w:color w:val="0066CC"/>
          <w:spacing w:val="0"/>
          <w:sz w:val="24"/>
          <w:szCs w:val="24"/>
          <w:u w:val="single"/>
          <w:shd w:val="clear" w:fill="FFFFFF"/>
        </w:rPr>
        <w:fldChar w:fldCharType="begin"/>
      </w:r>
      <w:r>
        <w:rPr>
          <w:rFonts w:hint="eastAsia" w:ascii="宋体" w:hAnsi="宋体" w:eastAsia="宋体" w:cs="宋体"/>
          <w:i w:val="0"/>
          <w:iCs w:val="0"/>
          <w:caps w:val="0"/>
          <w:color w:val="0066CC"/>
          <w:spacing w:val="0"/>
          <w:sz w:val="24"/>
          <w:szCs w:val="24"/>
          <w:u w:val="single"/>
          <w:shd w:val="clear" w:fill="FFFFFF"/>
        </w:rPr>
        <w:instrText xml:space="preserve"> HYPERLINK "https://ssfb86.com/uploadfile/file/20200514/1589468438488265.docx" \o "个人所得税公益慈善事业捐赠扣除明细表.docx" </w:instrText>
      </w:r>
      <w:r>
        <w:rPr>
          <w:rFonts w:hint="eastAsia" w:ascii="宋体" w:hAnsi="宋体" w:eastAsia="宋体" w:cs="宋体"/>
          <w:i w:val="0"/>
          <w:iCs w:val="0"/>
          <w:caps w:val="0"/>
          <w:color w:val="0066CC"/>
          <w:spacing w:val="0"/>
          <w:sz w:val="24"/>
          <w:szCs w:val="24"/>
          <w:u w:val="single"/>
          <w:shd w:val="clear" w:fill="FFFFFF"/>
        </w:rPr>
        <w:fldChar w:fldCharType="separate"/>
      </w:r>
      <w:r>
        <w:rPr>
          <w:rStyle w:val="9"/>
          <w:rFonts w:hint="eastAsia" w:ascii="宋体" w:hAnsi="宋体" w:eastAsia="宋体" w:cs="宋体"/>
          <w:i w:val="0"/>
          <w:iCs w:val="0"/>
          <w:caps w:val="0"/>
          <w:color w:val="0066CC"/>
          <w:spacing w:val="0"/>
          <w:sz w:val="24"/>
          <w:szCs w:val="24"/>
          <w:u w:val="single"/>
          <w:shd w:val="clear" w:fill="FFFFFF"/>
        </w:rPr>
        <w:t>个人所得税公益慈善事业捐赠扣除明细表.docx</w:t>
      </w:r>
      <w:r>
        <w:rPr>
          <w:rFonts w:hint="eastAsia" w:ascii="宋体" w:hAnsi="宋体" w:eastAsia="宋体" w:cs="宋体"/>
          <w:i w:val="0"/>
          <w:iCs w:val="0"/>
          <w:caps w:val="0"/>
          <w:color w:val="0066CC"/>
          <w:spacing w:val="0"/>
          <w:sz w:val="24"/>
          <w:szCs w:val="24"/>
          <w:u w:val="single"/>
          <w:shd w:val="clear" w:fill="FFFFFF"/>
        </w:rPr>
        <w:fldChar w:fldCharType="end"/>
      </w:r>
    </w:p>
    <w:p w14:paraId="3252CC5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四、注意事项</w:t>
      </w:r>
    </w:p>
    <w:p w14:paraId="22C5A038">
      <w:pPr>
        <w:pageBreakBefore w:val="0"/>
        <w:kinsoku/>
        <w:wordWrap/>
        <w:bidi w:val="0"/>
        <w:snapToGrid/>
        <w:spacing w:before="157" w:beforeLines="50" w:after="157" w:afterLines="50" w:line="360" w:lineRule="auto"/>
        <w:ind w:firstLine="480" w:firstLineChars="200"/>
        <w:rPr>
          <w:rFonts w:hint="default" w:ascii="宋体" w:hAnsi="宋体" w:eastAsia="宋体" w:cs="宋体"/>
          <w:bCs/>
          <w:sz w:val="24"/>
          <w:szCs w:val="24"/>
          <w:lang w:val="en-US" w:eastAsia="zh-CN"/>
        </w:rPr>
      </w:pPr>
      <w:bookmarkStart w:id="0" w:name="_Hlk100010611"/>
      <w:r>
        <w:rPr>
          <w:rFonts w:hint="eastAsia" w:ascii="宋体" w:hAnsi="宋体" w:eastAsia="宋体" w:cs="宋体"/>
          <w:bCs/>
          <w:sz w:val="24"/>
          <w:szCs w:val="24"/>
        </w:rPr>
        <w:t>居民个人取得利息、股息、红利所得，财产租赁所得，财产转让所得和偶然所得的，扣缴义务人未扣缴税款的，纳税人应当在取得所得的次年6月30日前，按相关规定向主管税务机关办理纳税申报，并报送《个人所得税自行纳税申报表（A表）》。</w:t>
      </w:r>
      <w:bookmarkEnd w:id="0"/>
    </w:p>
    <w:p w14:paraId="6C21B5C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五、涉税风险与典型案例</w:t>
      </w:r>
    </w:p>
    <w:p w14:paraId="7EFD89EB">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i w:val="0"/>
          <w:iCs w:val="0"/>
          <w:caps w:val="0"/>
          <w:color w:val="0000FF"/>
          <w:spacing w:val="0"/>
          <w:sz w:val="24"/>
          <w:szCs w:val="24"/>
          <w:lang w:val="en-US" w:eastAsia="zh-CN"/>
        </w:rPr>
      </w:pPr>
      <w:r>
        <w:rPr>
          <w:rFonts w:hint="eastAsia" w:ascii="宋体" w:hAnsi="宋体" w:cs="宋体"/>
          <w:i w:val="0"/>
          <w:iCs w:val="0"/>
          <w:caps w:val="0"/>
          <w:color w:val="0000FF"/>
          <w:spacing w:val="0"/>
          <w:sz w:val="24"/>
          <w:szCs w:val="24"/>
          <w:lang w:val="en-US" w:eastAsia="zh-CN"/>
        </w:rPr>
        <w:t>整理中</w:t>
      </w:r>
    </w:p>
    <w:p w14:paraId="3210216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六、办理方式</w:t>
      </w:r>
    </w:p>
    <w:p w14:paraId="23685B74">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线下</w:t>
      </w:r>
    </w:p>
    <w:p w14:paraId="4E04391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bookmarkStart w:id="1" w:name="OLE_LINK2"/>
      <w:r>
        <w:rPr>
          <w:rFonts w:hint="eastAsia" w:ascii="宋体" w:hAnsi="宋体" w:eastAsia="宋体" w:cs="宋体"/>
          <w:b/>
          <w:sz w:val="24"/>
          <w:szCs w:val="24"/>
          <w:lang w:val="en-US" w:eastAsia="zh-CN"/>
        </w:rPr>
        <w:t>七、办理时限</w:t>
      </w:r>
    </w:p>
    <w:p w14:paraId="03F0C2A2">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rPr>
        <w:t>即时办结</w:t>
      </w:r>
    </w:p>
    <w:bookmarkEnd w:id="1"/>
    <w:p w14:paraId="1BB29AE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八、操作指引</w:t>
      </w:r>
    </w:p>
    <w:p w14:paraId="24EBE7B2">
      <w:pPr>
        <w:pStyle w:val="10"/>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纳税人在办税服务厅提交相应申报材料，提出居民分类所得个人所得税申报申请</w:t>
      </w:r>
      <w:r>
        <w:rPr>
          <w:rFonts w:hint="eastAsia" w:ascii="宋体" w:hAnsi="宋体" w:eastAsia="宋体" w:cs="宋体"/>
          <w:bCs/>
          <w:sz w:val="24"/>
          <w:szCs w:val="24"/>
        </w:rPr>
        <w:t>。</w:t>
      </w:r>
    </w:p>
    <w:p w14:paraId="4B3A4C98">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九、资料处理</w:t>
      </w:r>
    </w:p>
    <w:p w14:paraId="2461FB5D"/>
    <w:p w14:paraId="51E02723">
      <w:pPr>
        <w:keepNext/>
        <w:pageBreakBefore w:val="0"/>
        <w:tabs>
          <w:tab w:val="center" w:pos="4200"/>
        </w:tabs>
        <w:kinsoku/>
        <w:wordWrap/>
        <w:bidi w:val="0"/>
        <w:snapToGrid/>
        <w:spacing w:before="157" w:beforeLines="50" w:after="157" w:afterLines="50" w:line="360" w:lineRule="auto"/>
        <w:ind w:firstLine="100"/>
        <w:jc w:val="center"/>
        <w:rPr>
          <w:rFonts w:hint="eastAsia" w:ascii="宋体" w:hAnsi="宋体" w:eastAsia="宋体" w:cs="宋体"/>
          <w:b/>
          <w:kern w:val="0"/>
          <w:sz w:val="24"/>
          <w:szCs w:val="24"/>
        </w:rPr>
      </w:pPr>
      <w:r>
        <w:rPr>
          <w:rFonts w:hint="eastAsia" w:ascii="宋体" w:hAnsi="宋体" w:eastAsia="宋体" w:cs="宋体"/>
          <w:b/>
          <w:kern w:val="0"/>
          <w:sz w:val="24"/>
          <w:szCs w:val="24"/>
        </w:rPr>
        <w:t>居民分类所得个人所得税自行申报报送资料清单</w:t>
      </w:r>
    </w:p>
    <w:tbl>
      <w:tblPr>
        <w:tblStyle w:val="6"/>
        <w:tblW w:w="85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4139"/>
        <w:gridCol w:w="624"/>
        <w:gridCol w:w="624"/>
        <w:gridCol w:w="624"/>
        <w:gridCol w:w="624"/>
        <w:gridCol w:w="624"/>
        <w:gridCol w:w="624"/>
      </w:tblGrid>
      <w:tr w14:paraId="2FDA7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4" w:type="dxa"/>
            <w:shd w:val="clear" w:color="auto" w:fill="E0E0E0"/>
            <w:noWrap w:val="0"/>
            <w:vAlign w:val="center"/>
          </w:tcPr>
          <w:p w14:paraId="153FC96E">
            <w:pPr>
              <w:pageBreakBefore w:val="0"/>
              <w:kinsoku/>
              <w:wordWrap/>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4139" w:type="dxa"/>
            <w:shd w:val="clear" w:color="auto" w:fill="E0E0E0"/>
            <w:noWrap w:val="0"/>
            <w:vAlign w:val="center"/>
          </w:tcPr>
          <w:p w14:paraId="701E5741">
            <w:pPr>
              <w:pageBreakBefore w:val="0"/>
              <w:kinsoku/>
              <w:wordWrap/>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rPr>
              <w:t>报送资料名称</w:t>
            </w:r>
          </w:p>
        </w:tc>
        <w:tc>
          <w:tcPr>
            <w:tcW w:w="624" w:type="dxa"/>
            <w:shd w:val="clear" w:color="auto" w:fill="E0E0E0"/>
            <w:noWrap w:val="0"/>
            <w:vAlign w:val="center"/>
          </w:tcPr>
          <w:p w14:paraId="2FCDD78B">
            <w:pPr>
              <w:pageBreakBefore w:val="0"/>
              <w:kinsoku/>
              <w:wordWrap/>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rPr>
              <w:t>必报</w:t>
            </w:r>
          </w:p>
        </w:tc>
        <w:tc>
          <w:tcPr>
            <w:tcW w:w="624" w:type="dxa"/>
            <w:shd w:val="clear" w:color="auto" w:fill="E0E0E0"/>
            <w:noWrap w:val="0"/>
            <w:vAlign w:val="center"/>
          </w:tcPr>
          <w:p w14:paraId="57686253">
            <w:pPr>
              <w:pageBreakBefore w:val="0"/>
              <w:kinsoku/>
              <w:wordWrap/>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rPr>
              <w:t>条件报送</w:t>
            </w:r>
          </w:p>
        </w:tc>
        <w:tc>
          <w:tcPr>
            <w:tcW w:w="624" w:type="dxa"/>
            <w:shd w:val="clear" w:color="auto" w:fill="E0E0E0"/>
            <w:noWrap w:val="0"/>
            <w:vAlign w:val="center"/>
          </w:tcPr>
          <w:p w14:paraId="3E635917">
            <w:pPr>
              <w:pageBreakBefore w:val="0"/>
              <w:kinsoku/>
              <w:wordWrap/>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rPr>
              <w:t>归档</w:t>
            </w:r>
          </w:p>
        </w:tc>
        <w:tc>
          <w:tcPr>
            <w:tcW w:w="624" w:type="dxa"/>
            <w:shd w:val="clear" w:color="auto" w:fill="E0E0E0"/>
            <w:noWrap w:val="0"/>
            <w:vAlign w:val="center"/>
          </w:tcPr>
          <w:p w14:paraId="3A51B65D">
            <w:pPr>
              <w:pageBreakBefore w:val="0"/>
              <w:kinsoku/>
              <w:wordWrap/>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rPr>
              <w:t>查验</w:t>
            </w:r>
          </w:p>
        </w:tc>
        <w:tc>
          <w:tcPr>
            <w:tcW w:w="624" w:type="dxa"/>
            <w:shd w:val="clear" w:color="auto" w:fill="E0E0E0"/>
            <w:noWrap w:val="0"/>
            <w:vAlign w:val="center"/>
          </w:tcPr>
          <w:p w14:paraId="3E64B64E">
            <w:pPr>
              <w:pageBreakBefore w:val="0"/>
              <w:kinsoku/>
              <w:wordWrap/>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rPr>
              <w:t>代保管</w:t>
            </w:r>
          </w:p>
        </w:tc>
        <w:tc>
          <w:tcPr>
            <w:tcW w:w="624" w:type="dxa"/>
            <w:shd w:val="clear" w:color="auto" w:fill="E0E0E0"/>
            <w:noWrap w:val="0"/>
            <w:vAlign w:val="center"/>
          </w:tcPr>
          <w:p w14:paraId="79D52FDF">
            <w:pPr>
              <w:pageBreakBefore w:val="0"/>
              <w:kinsoku/>
              <w:wordWrap/>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rPr>
              <w:t>核销</w:t>
            </w:r>
          </w:p>
        </w:tc>
      </w:tr>
      <w:tr w14:paraId="4276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shd w:val="clear" w:color="auto" w:fill="FFFFFF"/>
            <w:noWrap w:val="0"/>
            <w:vAlign w:val="top"/>
          </w:tcPr>
          <w:p w14:paraId="74D2342E">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139" w:type="dxa"/>
            <w:shd w:val="clear" w:color="auto" w:fill="FFFFFF"/>
            <w:noWrap w:val="0"/>
            <w:vAlign w:val="top"/>
          </w:tcPr>
          <w:p w14:paraId="7B12D375">
            <w:pPr>
              <w:pageBreakBefore w:val="0"/>
              <w:kinsoku/>
              <w:wordWrap/>
              <w:bidi w:val="0"/>
              <w:snapToGrid/>
              <w:spacing w:before="157" w:beforeLines="50" w:after="157" w:afterLines="50" w:line="360" w:lineRule="auto"/>
              <w:jc w:val="left"/>
              <w:rPr>
                <w:rFonts w:hint="eastAsia" w:ascii="宋体" w:hAnsi="宋体" w:eastAsia="宋体" w:cs="宋体"/>
                <w:sz w:val="24"/>
                <w:szCs w:val="24"/>
              </w:rPr>
            </w:pPr>
            <w:r>
              <w:rPr>
                <w:rFonts w:hint="eastAsia" w:ascii="宋体" w:hAnsi="宋体" w:eastAsia="宋体" w:cs="宋体"/>
                <w:sz w:val="24"/>
                <w:szCs w:val="24"/>
              </w:rPr>
              <w:t>《个人所得税自行纳税申报表（A表）》</w:t>
            </w:r>
          </w:p>
        </w:tc>
        <w:tc>
          <w:tcPr>
            <w:tcW w:w="624" w:type="dxa"/>
            <w:shd w:val="clear" w:color="auto" w:fill="FFFFFF"/>
            <w:noWrap w:val="0"/>
            <w:vAlign w:val="top"/>
          </w:tcPr>
          <w:p w14:paraId="02F0B47E">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24" w:type="dxa"/>
            <w:shd w:val="clear" w:color="auto" w:fill="FFFFFF"/>
            <w:noWrap w:val="0"/>
            <w:vAlign w:val="top"/>
          </w:tcPr>
          <w:p w14:paraId="69659006">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c>
          <w:tcPr>
            <w:tcW w:w="624" w:type="dxa"/>
            <w:shd w:val="clear" w:color="auto" w:fill="FFFFFF"/>
            <w:noWrap w:val="0"/>
            <w:vAlign w:val="top"/>
          </w:tcPr>
          <w:p w14:paraId="6BB3B57D">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24" w:type="dxa"/>
            <w:shd w:val="clear" w:color="auto" w:fill="FFFFFF"/>
            <w:noWrap w:val="0"/>
            <w:vAlign w:val="top"/>
          </w:tcPr>
          <w:p w14:paraId="0639F18E">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c>
          <w:tcPr>
            <w:tcW w:w="624" w:type="dxa"/>
            <w:shd w:val="clear" w:color="auto" w:fill="FFFFFF"/>
            <w:noWrap w:val="0"/>
            <w:vAlign w:val="top"/>
          </w:tcPr>
          <w:p w14:paraId="79967858">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c>
          <w:tcPr>
            <w:tcW w:w="624" w:type="dxa"/>
            <w:shd w:val="clear" w:color="auto" w:fill="FFFFFF"/>
            <w:noWrap w:val="0"/>
            <w:vAlign w:val="top"/>
          </w:tcPr>
          <w:p w14:paraId="65CCA0BF">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r>
      <w:tr w14:paraId="6C25C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shd w:val="clear" w:color="auto" w:fill="FFFFFF"/>
            <w:noWrap w:val="0"/>
            <w:vAlign w:val="top"/>
          </w:tcPr>
          <w:p w14:paraId="5116F121">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139" w:type="dxa"/>
            <w:shd w:val="clear" w:color="auto" w:fill="FFFFFF"/>
            <w:noWrap w:val="0"/>
            <w:vAlign w:val="top"/>
          </w:tcPr>
          <w:p w14:paraId="4488D5D7">
            <w:pPr>
              <w:pageBreakBefore w:val="0"/>
              <w:kinsoku/>
              <w:wordWrap/>
              <w:bidi w:val="0"/>
              <w:snapToGrid/>
              <w:spacing w:before="157" w:beforeLines="50" w:after="157" w:afterLines="50" w:line="360" w:lineRule="auto"/>
              <w:jc w:val="left"/>
              <w:rPr>
                <w:rFonts w:hint="eastAsia" w:ascii="宋体" w:hAnsi="宋体" w:eastAsia="宋体" w:cs="宋体"/>
                <w:sz w:val="24"/>
                <w:szCs w:val="24"/>
              </w:rPr>
            </w:pPr>
            <w:r>
              <w:rPr>
                <w:rFonts w:hint="eastAsia" w:ascii="宋体" w:hAnsi="宋体" w:eastAsia="宋体" w:cs="宋体"/>
                <w:sz w:val="24"/>
                <w:szCs w:val="24"/>
              </w:rPr>
              <w:t>《个人所得税减免税事项报告表》</w:t>
            </w:r>
          </w:p>
        </w:tc>
        <w:tc>
          <w:tcPr>
            <w:tcW w:w="624" w:type="dxa"/>
            <w:shd w:val="clear" w:color="auto" w:fill="FFFFFF"/>
            <w:noWrap w:val="0"/>
            <w:vAlign w:val="top"/>
          </w:tcPr>
          <w:p w14:paraId="2721C518">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c>
          <w:tcPr>
            <w:tcW w:w="624" w:type="dxa"/>
            <w:shd w:val="clear" w:color="auto" w:fill="FFFFFF"/>
            <w:noWrap w:val="0"/>
            <w:vAlign w:val="top"/>
          </w:tcPr>
          <w:p w14:paraId="3EF9B561">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24" w:type="dxa"/>
            <w:shd w:val="clear" w:color="auto" w:fill="FFFFFF"/>
            <w:noWrap w:val="0"/>
            <w:vAlign w:val="top"/>
          </w:tcPr>
          <w:p w14:paraId="64F86DA5">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c>
          <w:tcPr>
            <w:tcW w:w="624" w:type="dxa"/>
            <w:shd w:val="clear" w:color="auto" w:fill="FFFFFF"/>
            <w:noWrap w:val="0"/>
            <w:vAlign w:val="top"/>
          </w:tcPr>
          <w:p w14:paraId="14A835D7">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24" w:type="dxa"/>
            <w:shd w:val="clear" w:color="auto" w:fill="FFFFFF"/>
            <w:noWrap w:val="0"/>
            <w:vAlign w:val="top"/>
          </w:tcPr>
          <w:p w14:paraId="56940846">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c>
          <w:tcPr>
            <w:tcW w:w="624" w:type="dxa"/>
            <w:shd w:val="clear" w:color="auto" w:fill="FFFFFF"/>
            <w:noWrap w:val="0"/>
            <w:vAlign w:val="top"/>
          </w:tcPr>
          <w:p w14:paraId="601B00AE">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r>
      <w:tr w14:paraId="22960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shd w:val="clear" w:color="auto" w:fill="FFFFFF"/>
            <w:noWrap w:val="0"/>
            <w:vAlign w:val="top"/>
          </w:tcPr>
          <w:p w14:paraId="40A5F978">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139" w:type="dxa"/>
            <w:shd w:val="clear" w:color="auto" w:fill="FFFFFF"/>
            <w:noWrap w:val="0"/>
            <w:vAlign w:val="top"/>
          </w:tcPr>
          <w:p w14:paraId="3AFEC8F2">
            <w:pPr>
              <w:pageBreakBefore w:val="0"/>
              <w:kinsoku/>
              <w:wordWrap/>
              <w:bidi w:val="0"/>
              <w:snapToGrid/>
              <w:spacing w:before="157" w:beforeLines="50" w:after="157" w:afterLines="50" w:line="360" w:lineRule="auto"/>
              <w:jc w:val="left"/>
              <w:rPr>
                <w:rFonts w:hint="eastAsia" w:ascii="宋体" w:hAnsi="宋体" w:eastAsia="宋体" w:cs="宋体"/>
                <w:sz w:val="24"/>
                <w:szCs w:val="24"/>
              </w:rPr>
            </w:pPr>
            <w:r>
              <w:rPr>
                <w:rFonts w:hint="eastAsia" w:ascii="宋体" w:hAnsi="宋体" w:eastAsia="宋体" w:cs="宋体"/>
                <w:sz w:val="24"/>
                <w:szCs w:val="24"/>
              </w:rPr>
              <w:t>有效身份证件</w:t>
            </w:r>
          </w:p>
        </w:tc>
        <w:tc>
          <w:tcPr>
            <w:tcW w:w="624" w:type="dxa"/>
            <w:shd w:val="clear" w:color="auto" w:fill="FFFFFF"/>
            <w:noWrap w:val="0"/>
            <w:vAlign w:val="top"/>
          </w:tcPr>
          <w:p w14:paraId="1C1A6F7C">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c>
          <w:tcPr>
            <w:tcW w:w="624" w:type="dxa"/>
            <w:shd w:val="clear" w:color="auto" w:fill="FFFFFF"/>
            <w:noWrap w:val="0"/>
            <w:vAlign w:val="top"/>
          </w:tcPr>
          <w:p w14:paraId="11AE83DA">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24" w:type="dxa"/>
            <w:shd w:val="clear" w:color="auto" w:fill="FFFFFF"/>
            <w:noWrap w:val="0"/>
            <w:vAlign w:val="top"/>
          </w:tcPr>
          <w:p w14:paraId="60EF3258">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c>
          <w:tcPr>
            <w:tcW w:w="624" w:type="dxa"/>
            <w:shd w:val="clear" w:color="auto" w:fill="FFFFFF"/>
            <w:noWrap w:val="0"/>
            <w:vAlign w:val="top"/>
          </w:tcPr>
          <w:p w14:paraId="524F89D8">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24" w:type="dxa"/>
            <w:shd w:val="clear" w:color="auto" w:fill="FFFFFF"/>
            <w:noWrap w:val="0"/>
            <w:vAlign w:val="top"/>
          </w:tcPr>
          <w:p w14:paraId="61C64CA5">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c>
          <w:tcPr>
            <w:tcW w:w="624" w:type="dxa"/>
            <w:shd w:val="clear" w:color="auto" w:fill="FFFFFF"/>
            <w:noWrap w:val="0"/>
            <w:vAlign w:val="top"/>
          </w:tcPr>
          <w:p w14:paraId="59CFD412">
            <w:pPr>
              <w:pageBreakBefore w:val="0"/>
              <w:kinsoku/>
              <w:wordWrap/>
              <w:bidi w:val="0"/>
              <w:snapToGrid/>
              <w:spacing w:before="157" w:beforeLines="50" w:after="157" w:afterLines="50" w:line="360" w:lineRule="auto"/>
              <w:jc w:val="center"/>
              <w:rPr>
                <w:rFonts w:hint="eastAsia" w:ascii="宋体" w:hAnsi="宋体" w:eastAsia="宋体" w:cs="宋体"/>
                <w:sz w:val="24"/>
                <w:szCs w:val="24"/>
              </w:rPr>
            </w:pPr>
          </w:p>
        </w:tc>
      </w:tr>
    </w:tbl>
    <w:p w14:paraId="1D134FB0">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上述条件报送资料的报送条件为：</w:t>
      </w:r>
    </w:p>
    <w:p w14:paraId="680B8097">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《个人所得税减免税事项报告表》：纳税人纳税申报时存在减免个人所得税情形。</w:t>
      </w:r>
    </w:p>
    <w:p w14:paraId="3219ABE0">
      <w:pPr>
        <w:pageBreakBefore w:val="0"/>
        <w:kinsoku/>
        <w:wordWrap/>
        <w:bidi w:val="0"/>
        <w:snapToGrid/>
        <w:spacing w:before="157" w:beforeLines="50" w:after="157" w:afterLines="50" w:line="360" w:lineRule="auto"/>
        <w:rPr>
          <w:rFonts w:hint="eastAsia" w:ascii="宋体" w:hAnsi="宋体" w:eastAsia="宋体" w:cs="宋体"/>
          <w:sz w:val="24"/>
          <w:szCs w:val="24"/>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55BC0"/>
    <w:rsid w:val="0B9F4610"/>
    <w:rsid w:val="0E6A367F"/>
    <w:rsid w:val="13C44AB2"/>
    <w:rsid w:val="380620F2"/>
    <w:rsid w:val="5A9F733B"/>
    <w:rsid w:val="656C7B36"/>
    <w:rsid w:val="79642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Web)"/>
    <w:basedOn w:val="1"/>
    <w:qFormat/>
    <w:uiPriority w:val="0"/>
    <w:rPr>
      <w:sz w:val="24"/>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paragraph" w:customStyle="1" w:styleId="10">
    <w:name w:val="需求正文_0"/>
    <w:basedOn w:val="11"/>
    <w:qFormat/>
    <w:uiPriority w:val="0"/>
    <w:pPr>
      <w:topLinePunct/>
      <w:ind w:firstLine="200"/>
    </w:pPr>
    <w:rPr>
      <w:kern w:val="20"/>
      <w:sz w:val="20"/>
      <w:szCs w:val="20"/>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894</Words>
  <Characters>952</Characters>
  <Lines>0</Lines>
  <Paragraphs>0</Paragraphs>
  <TotalTime>0</TotalTime>
  <ScaleCrop>false</ScaleCrop>
  <LinksUpToDate>false</LinksUpToDate>
  <CharactersWithSpaces>956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2025-02-27T06:49:00Z</dcterms:created>
  <dc:creator>tsuser</dc:creator>
  <cp:lastModifiedBy>默默</cp:lastModifiedBy>
  <dcterms:modified xsi:type="dcterms:W3CDTF">2025-07-10T06:09:23Z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6783F00873744660B10E56126C8EF9A9_12</vt:lpwstr>
  </property>
</Properties>
</file>