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val="0"/>
          <w:color w:val="000000"/>
          <w:kern w:val="0"/>
          <w:sz w:val="24"/>
          <w:szCs w:val="24"/>
        </w:rPr>
      </w:pPr>
      <w:bookmarkStart w:id="1" w:name="_GoBack"/>
      <w:bookmarkStart w:id="0" w:name="_Hlk162425405"/>
      <w:r>
        <w:rPr>
          <w:rFonts w:hint="eastAsia" w:ascii="宋体" w:hAnsi="宋体" w:eastAsia="宋体" w:cs="宋体"/>
          <w:b/>
          <w:bCs w:val="0"/>
          <w:color w:val="000000"/>
          <w:kern w:val="0"/>
          <w:sz w:val="24"/>
          <w:szCs w:val="24"/>
        </w:rPr>
        <w:t>5.5.2.1.1.1  非居民企业所得税自行申报</w:t>
      </w:r>
      <w:bookmarkEnd w:id="1"/>
      <w:r>
        <w:rPr>
          <w:rFonts w:hint="eastAsia" w:ascii="宋体" w:hAnsi="宋体" w:eastAsia="宋体" w:cs="宋体"/>
          <w:b/>
          <w:bCs w:val="0"/>
          <w:color w:val="000000"/>
          <w:kern w:val="0"/>
          <w:sz w:val="24"/>
          <w:szCs w:val="24"/>
        </w:rPr>
        <w:t>————2290</w:t>
      </w:r>
    </w:p>
    <w:p>
      <w:pPr>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val="0"/>
          <w:color w:val="000000"/>
          <w:kern w:val="0"/>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一、业务概述</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在中国境内未设立机构、场所的非居民企业，或虽设立机构、场所但取得的所得与其所设机构、场所没有实际联系的非居民企业纳税人，</w:t>
      </w:r>
      <w:r>
        <w:rPr>
          <w:rFonts w:hint="eastAsia" w:ascii="宋体" w:hAnsi="宋体" w:eastAsia="宋体" w:cs="宋体"/>
          <w:bCs/>
          <w:sz w:val="24"/>
          <w:szCs w:val="24"/>
          <w:highlight w:val="yellow"/>
        </w:rPr>
        <w:t>当扣缴义务人未依法扣缴或无法履行扣缴义务时，应当依照税收法律、法规、规章及其他有关规定</w:t>
      </w:r>
      <w:r>
        <w:rPr>
          <w:rFonts w:hint="eastAsia" w:ascii="宋体" w:hAnsi="宋体" w:eastAsia="宋体" w:cs="宋体"/>
          <w:bCs/>
          <w:sz w:val="24"/>
          <w:szCs w:val="24"/>
        </w:rPr>
        <w:t>，填报《中华人民共和国扣缴企业所得税报告表（2019年版）(F500)》及其他相关资料，就其来源于中国境内的所得自行向税务机关按次申报其所得并缴纳企业所得税。</w:t>
      </w:r>
      <w:r>
        <w:rPr>
          <w:rFonts w:hint="eastAsia" w:ascii="宋体" w:hAnsi="宋体" w:eastAsia="宋体" w:cs="宋体"/>
          <w:bCs/>
          <w:sz w:val="24"/>
          <w:szCs w:val="24"/>
          <w:highlight w:val="yellow"/>
        </w:rPr>
        <w:t>按照相关规定可享受协定待遇的，可在申报时一并报送《非居民纳税人享受协定待遇信息报告表》附表</w:t>
      </w:r>
      <w:r>
        <w:rPr>
          <w:rFonts w:hint="eastAsia" w:ascii="宋体" w:hAnsi="宋体" w:eastAsia="宋体" w:cs="宋体"/>
          <w:bCs/>
          <w:sz w:val="24"/>
          <w:szCs w:val="24"/>
        </w:rPr>
        <w:t>。</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纳税人需要办理对非居民企业所得税自行申报的，自行发起办理本事项。纳税人通过电子税务局自行申请办理的，经系统智能处理规则校验后，自动办结该事项。</w:t>
      </w:r>
    </w:p>
    <w:p>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二、办理流程</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即时办结。</w:t>
      </w:r>
    </w:p>
    <w:p>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、功能路径</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1.非居民企业身份登录-【场景办税】-【非居民企业所得税自行申报】</w:t>
      </w:r>
      <w:r>
        <w:rPr>
          <w:rFonts w:hint="eastAsia" w:ascii="宋体" w:hAnsi="宋体" w:eastAsia="宋体" w:cs="宋体"/>
          <w:bCs/>
          <w:sz w:val="24"/>
          <w:szCs w:val="24"/>
          <w:shd w:val="clear" w:color="auto" w:fill="FFFFFF"/>
        </w:rPr>
        <w:t>。</w:t>
      </w:r>
    </w:p>
    <w:p>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、操作步骤</w:t>
      </w:r>
    </w:p>
    <w:bookmarkEnd w:id="0"/>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1.非居民企业登录新电子税局后，点击【非居民企业所得税自行申报】功能菜单。</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2.进入模块后，纳税人根据需要选择扣缴类型，分别为“自行申报”和“递延税款补缴”。</w:t>
      </w:r>
    </w:p>
    <w:p>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3099435"/>
            <wp:effectExtent l="0" t="0" r="2540" b="5715"/>
            <wp:docPr id="13014873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487389" name="图片 1"/>
                    <pic:cNvPicPr>
                      <a:picLocks noChangeAspect="1"/>
                    </pic:cNvPicPr>
                  </pic:nvPicPr>
                  <pic:blipFill>
                    <a:blip r:embed="rId4"/>
                    <a:stretch>
                      <a:fillRect/>
                    </a:stretch>
                  </pic:blipFill>
                  <pic:spPr>
                    <a:xfrm>
                      <a:off x="0" y="0"/>
                      <a:ext cx="5274310" cy="3099435"/>
                    </a:xfrm>
                    <a:prstGeom prst="rect">
                      <a:avLst/>
                    </a:prstGeom>
                  </pic:spPr>
                </pic:pic>
              </a:graphicData>
            </a:graphic>
          </wp:inline>
        </w:drawing>
      </w:r>
    </w:p>
    <w:p>
      <w:pPr>
        <w:pageBreakBefore w:val="0"/>
        <w:kinsoku/>
        <w:wordWrap/>
        <w:overflowPunct/>
        <w:topLinePunct w:val="0"/>
        <w:autoSpaceDE/>
        <w:autoSpaceDN/>
        <w:bidi w:val="0"/>
        <w:adjustRightInd/>
        <w:snapToGrid/>
        <w:spacing w:before="157" w:beforeLines="50" w:after="157" w:afterLines="50" w:line="360" w:lineRule="auto"/>
        <w:ind w:firstLine="420"/>
        <w:textAlignment w:val="auto"/>
        <w:outlineLvl w:val="1"/>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2.1自行申报</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（1）选择合同</w:t>
      </w:r>
    </w:p>
    <w:p>
      <w:pPr>
        <w:pageBreakBefore w:val="0"/>
        <w:kinsoku/>
        <w:wordWrap/>
        <w:overflowPunct/>
        <w:topLinePunct w:val="0"/>
        <w:autoSpaceDE/>
        <w:autoSpaceDN/>
        <w:bidi w:val="0"/>
        <w:adjustRightInd/>
        <w:snapToGrid/>
        <w:spacing w:before="157" w:beforeLines="50" w:after="157" w:afterLines="50"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2961640"/>
            <wp:effectExtent l="0" t="0" r="2540" b="0"/>
            <wp:docPr id="8828314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31463" name="图片 1"/>
                    <pic:cNvPicPr>
                      <a:picLocks noChangeAspect="1"/>
                    </pic:cNvPicPr>
                  </pic:nvPicPr>
                  <pic:blipFill>
                    <a:blip r:embed="rId5"/>
                    <a:stretch>
                      <a:fillRect/>
                    </a:stretch>
                  </pic:blipFill>
                  <pic:spPr>
                    <a:xfrm>
                      <a:off x="0" y="0"/>
                      <a:ext cx="5274310" cy="2961640"/>
                    </a:xfrm>
                    <a:prstGeom prst="rect">
                      <a:avLst/>
                    </a:prstGeom>
                  </pic:spPr>
                </pic:pic>
              </a:graphicData>
            </a:graphic>
          </wp:inline>
        </w:drawing>
      </w:r>
    </w:p>
    <w:p>
      <w:pPr>
        <w:pageBreakBefore w:val="0"/>
        <w:kinsoku/>
        <w:wordWrap/>
        <w:overflowPunct/>
        <w:topLinePunct w:val="0"/>
        <w:autoSpaceDE/>
        <w:autoSpaceDN/>
        <w:bidi w:val="0"/>
        <w:adjustRightInd/>
        <w:snapToGrid/>
        <w:spacing w:before="157" w:beforeLines="50" w:after="157" w:afterLines="50" w:line="360" w:lineRule="auto"/>
        <w:ind w:left="420" w:firstLine="420"/>
        <w:textAlignment w:val="auto"/>
        <w:rPr>
          <w:rFonts w:hint="eastAsia" w:ascii="宋体" w:hAnsi="宋体" w:eastAsia="宋体" w:cs="宋体"/>
          <w:sz w:val="24"/>
          <w:szCs w:val="24"/>
        </w:rPr>
      </w:pPr>
      <w:r>
        <w:rPr>
          <w:rFonts w:hint="eastAsia" w:ascii="宋体" w:hAnsi="宋体" w:eastAsia="宋体" w:cs="宋体"/>
          <w:bCs/>
          <w:sz w:val="24"/>
          <w:szCs w:val="24"/>
          <w:shd w:val="clear" w:color="auto" w:fill="FFFFFF"/>
        </w:rPr>
        <w:t>如果需要新增合同，可通过【去新增合同】按钮，跳转到【跨境交易合同信息管理】模块，增加合同。</w:t>
      </w:r>
    </w:p>
    <w:p>
      <w:pPr>
        <w:pageBreakBefore w:val="0"/>
        <w:kinsoku/>
        <w:wordWrap/>
        <w:overflowPunct/>
        <w:topLinePunct w:val="0"/>
        <w:autoSpaceDE/>
        <w:autoSpaceDN/>
        <w:bidi w:val="0"/>
        <w:adjustRightInd/>
        <w:snapToGrid/>
        <w:spacing w:before="157" w:beforeLines="50" w:after="157" w:afterLines="50" w:line="360" w:lineRule="auto"/>
        <w:ind w:left="420" w:firstLine="420"/>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napToGrid/>
        <w:spacing w:before="157" w:beforeLines="50" w:after="157" w:afterLines="50" w:line="360" w:lineRule="auto"/>
        <w:ind w:left="420" w:firstLine="42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（2）填写申报信息</w:t>
      </w:r>
    </w:p>
    <w:p>
      <w:pPr>
        <w:pageBreakBefore w:val="0"/>
        <w:kinsoku/>
        <w:wordWrap/>
        <w:overflowPunct/>
        <w:topLinePunct w:val="0"/>
        <w:autoSpaceDE/>
        <w:autoSpaceDN/>
        <w:bidi w:val="0"/>
        <w:adjustRightInd/>
        <w:snapToGrid/>
        <w:spacing w:before="157" w:beforeLines="50" w:after="157" w:afterLines="50" w:line="360" w:lineRule="auto"/>
        <w:ind w:left="420" w:leftChars="200"/>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3032760"/>
            <wp:effectExtent l="0" t="0" r="2540" b="0"/>
            <wp:docPr id="8922876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287621" name="图片 1"/>
                    <pic:cNvPicPr>
                      <a:picLocks noChangeAspect="1"/>
                    </pic:cNvPicPr>
                  </pic:nvPicPr>
                  <pic:blipFill>
                    <a:blip r:embed="rId6"/>
                    <a:stretch>
                      <a:fillRect/>
                    </a:stretch>
                  </pic:blipFill>
                  <pic:spPr>
                    <a:xfrm>
                      <a:off x="0" y="0"/>
                      <a:ext cx="5274310" cy="3032760"/>
                    </a:xfrm>
                    <a:prstGeom prst="rect">
                      <a:avLst/>
                    </a:prstGeom>
                  </pic:spPr>
                </pic:pic>
              </a:graphicData>
            </a:graphic>
          </wp:inline>
        </w:drawing>
      </w:r>
    </w:p>
    <w:p>
      <w:pPr>
        <w:pageBreakBefore w:val="0"/>
        <w:kinsoku/>
        <w:wordWrap/>
        <w:overflowPunct/>
        <w:topLinePunct w:val="0"/>
        <w:autoSpaceDE/>
        <w:autoSpaceDN/>
        <w:bidi w:val="0"/>
        <w:adjustRightInd/>
        <w:snapToGrid/>
        <w:spacing w:before="157" w:beforeLines="50" w:after="157" w:afterLines="50" w:line="360" w:lineRule="auto"/>
        <w:ind w:firstLine="42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（3）当选择了享受协定待遇的减免优惠时，便需要填写协定待遇表。</w:t>
      </w:r>
    </w:p>
    <w:p>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3107690"/>
            <wp:effectExtent l="0" t="0" r="2540" b="0"/>
            <wp:docPr id="2486279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27944" name="图片 1"/>
                    <pic:cNvPicPr>
                      <a:picLocks noChangeAspect="1"/>
                    </pic:cNvPicPr>
                  </pic:nvPicPr>
                  <pic:blipFill>
                    <a:blip r:embed="rId7"/>
                    <a:stretch>
                      <a:fillRect/>
                    </a:stretch>
                  </pic:blipFill>
                  <pic:spPr>
                    <a:xfrm>
                      <a:off x="0" y="0"/>
                      <a:ext cx="5274310" cy="3107690"/>
                    </a:xfrm>
                    <a:prstGeom prst="rect">
                      <a:avLst/>
                    </a:prstGeom>
                  </pic:spPr>
                </pic:pic>
              </a:graphicData>
            </a:graphic>
          </wp:inline>
        </w:drawing>
      </w:r>
    </w:p>
    <w:p>
      <w:pPr>
        <w:pageBreakBefore w:val="0"/>
        <w:kinsoku/>
        <w:wordWrap/>
        <w:overflowPunct/>
        <w:topLinePunct w:val="0"/>
        <w:autoSpaceDE/>
        <w:autoSpaceDN/>
        <w:bidi w:val="0"/>
        <w:adjustRightInd/>
        <w:snapToGrid/>
        <w:spacing w:before="157" w:beforeLines="50" w:after="157" w:afterLines="50" w:line="360" w:lineRule="auto"/>
        <w:ind w:firstLine="42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（4）纳税人可通过【预览表单】进行详情查看。</w:t>
      </w:r>
    </w:p>
    <w:p>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3046730"/>
            <wp:effectExtent l="0" t="0" r="2540" b="1270"/>
            <wp:docPr id="7574352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35257" name="图片 1"/>
                    <pic:cNvPicPr>
                      <a:picLocks noChangeAspect="1"/>
                    </pic:cNvPicPr>
                  </pic:nvPicPr>
                  <pic:blipFill>
                    <a:blip r:embed="rId8"/>
                    <a:stretch>
                      <a:fillRect/>
                    </a:stretch>
                  </pic:blipFill>
                  <pic:spPr>
                    <a:xfrm>
                      <a:off x="0" y="0"/>
                      <a:ext cx="5274310" cy="3046730"/>
                    </a:xfrm>
                    <a:prstGeom prst="rect">
                      <a:avLst/>
                    </a:prstGeom>
                  </pic:spPr>
                </pic:pic>
              </a:graphicData>
            </a:graphic>
          </wp:inline>
        </w:drawing>
      </w:r>
    </w:p>
    <w:p>
      <w:pPr>
        <w:pageBreakBefore w:val="0"/>
        <w:kinsoku/>
        <w:wordWrap/>
        <w:overflowPunct/>
        <w:topLinePunct w:val="0"/>
        <w:autoSpaceDE/>
        <w:autoSpaceDN/>
        <w:bidi w:val="0"/>
        <w:adjustRightInd/>
        <w:snapToGrid/>
        <w:spacing w:before="157" w:beforeLines="50" w:after="157" w:afterLines="50" w:line="360" w:lineRule="auto"/>
        <w:ind w:firstLine="42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（5）点击【提交申报】，确认申报。提交成功后，系统返回办理成功。</w:t>
      </w:r>
    </w:p>
    <w:p>
      <w:pPr>
        <w:pStyle w:val="4"/>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2948940"/>
            <wp:effectExtent l="0" t="0" r="8890" b="10160"/>
            <wp:docPr id="14836794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79452" name="图片 1"/>
                    <pic:cNvPicPr>
                      <a:picLocks noChangeAspect="1"/>
                    </pic:cNvPicPr>
                  </pic:nvPicPr>
                  <pic:blipFill>
                    <a:blip r:embed="rId9"/>
                    <a:stretch>
                      <a:fillRect/>
                    </a:stretch>
                  </pic:blipFill>
                  <pic:spPr>
                    <a:xfrm>
                      <a:off x="0" y="0"/>
                      <a:ext cx="5274310" cy="2948940"/>
                    </a:xfrm>
                    <a:prstGeom prst="rect">
                      <a:avLst/>
                    </a:prstGeom>
                  </pic:spPr>
                </pic:pic>
              </a:graphicData>
            </a:graphic>
          </wp:inline>
        </w:drawing>
      </w:r>
    </w:p>
    <w:p>
      <w:pPr>
        <w:pageBreakBefore w:val="0"/>
        <w:kinsoku/>
        <w:wordWrap/>
        <w:overflowPunct/>
        <w:topLinePunct w:val="0"/>
        <w:autoSpaceDE/>
        <w:autoSpaceDN/>
        <w:bidi w:val="0"/>
        <w:adjustRightInd/>
        <w:snapToGrid/>
        <w:spacing w:before="157" w:beforeLines="50" w:after="157" w:afterLines="50" w:line="360" w:lineRule="auto"/>
        <w:ind w:firstLine="420"/>
        <w:textAlignment w:val="auto"/>
        <w:outlineLvl w:val="1"/>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2.2递延税款补缴</w:t>
      </w:r>
    </w:p>
    <w:p>
      <w:pPr>
        <w:pageBreakBefore w:val="0"/>
        <w:kinsoku/>
        <w:wordWrap/>
        <w:overflowPunct/>
        <w:topLinePunct w:val="0"/>
        <w:autoSpaceDE/>
        <w:autoSpaceDN/>
        <w:bidi w:val="0"/>
        <w:adjustRightInd/>
        <w:snapToGrid/>
        <w:spacing w:before="157" w:beforeLines="50" w:after="157" w:afterLines="50" w:line="360" w:lineRule="auto"/>
        <w:ind w:left="420" w:firstLine="42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当扣缴义务人申报时享受了递延，但后来不能履行扣缴义务进行的时候，非居民企业要求自行补缴税款。</w:t>
      </w:r>
    </w:p>
    <w:p>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1403985"/>
            <wp:effectExtent l="0" t="0" r="2540" b="5715"/>
            <wp:docPr id="4898997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899700" name="图片 1"/>
                    <pic:cNvPicPr>
                      <a:picLocks noChangeAspect="1"/>
                    </pic:cNvPicPr>
                  </pic:nvPicPr>
                  <pic:blipFill>
                    <a:blip r:embed="rId10"/>
                    <a:stretch>
                      <a:fillRect/>
                    </a:stretch>
                  </pic:blipFill>
                  <pic:spPr>
                    <a:xfrm>
                      <a:off x="0" y="0"/>
                      <a:ext cx="5274310" cy="1403985"/>
                    </a:xfrm>
                    <a:prstGeom prst="rect">
                      <a:avLst/>
                    </a:prstGeom>
                  </pic:spPr>
                </pic:pic>
              </a:graphicData>
            </a:graphic>
          </wp:inline>
        </w:drawing>
      </w:r>
    </w:p>
    <w:p>
      <w:pPr>
        <w:pageBreakBefore w:val="0"/>
        <w:kinsoku/>
        <w:wordWrap/>
        <w:overflowPunct/>
        <w:topLinePunct w:val="0"/>
        <w:autoSpaceDE/>
        <w:autoSpaceDN/>
        <w:bidi w:val="0"/>
        <w:adjustRightInd/>
        <w:snapToGrid/>
        <w:spacing w:before="157" w:beforeLines="50" w:after="157" w:afterLines="50" w:line="360" w:lineRule="auto"/>
        <w:ind w:firstLine="42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选择了递延缴纳报告表，填写需要补充的信息后，点击【提交申报】按钮，会提交申报，申报成功后，会跳转到申报成功界面。</w:t>
      </w:r>
    </w:p>
    <w:p>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、报送资料</w:t>
      </w:r>
    </w:p>
    <w:p>
      <w:pPr>
        <w:pStyle w:val="15"/>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76"/>
        <w:gridCol w:w="3410"/>
        <w:gridCol w:w="639"/>
        <w:gridCol w:w="639"/>
        <w:gridCol w:w="639"/>
        <w:gridCol w:w="639"/>
        <w:gridCol w:w="639"/>
        <w:gridCol w:w="639"/>
        <w:gridCol w:w="7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338" w:type="pct"/>
            <w:shd w:val="clear" w:color="auto" w:fill="D9D9D9"/>
            <w:vAlign w:val="center"/>
          </w:tcPr>
          <w:p>
            <w:pPr>
              <w:pStyle w:val="15"/>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序号</w:t>
            </w:r>
          </w:p>
        </w:tc>
        <w:tc>
          <w:tcPr>
            <w:tcW w:w="2000" w:type="pct"/>
            <w:shd w:val="clear" w:color="auto" w:fill="D9D9D9"/>
            <w:vAlign w:val="center"/>
          </w:tcPr>
          <w:p>
            <w:pPr>
              <w:pStyle w:val="15"/>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报送资料名称</w:t>
            </w:r>
          </w:p>
        </w:tc>
        <w:tc>
          <w:tcPr>
            <w:tcW w:w="375" w:type="pct"/>
            <w:shd w:val="clear" w:color="auto" w:fill="D9D9D9"/>
            <w:vAlign w:val="center"/>
          </w:tcPr>
          <w:p>
            <w:pPr>
              <w:pStyle w:val="15"/>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必报</w:t>
            </w:r>
          </w:p>
        </w:tc>
        <w:tc>
          <w:tcPr>
            <w:tcW w:w="375" w:type="pct"/>
            <w:shd w:val="clear" w:color="auto" w:fill="D9D9D9"/>
            <w:vAlign w:val="center"/>
          </w:tcPr>
          <w:p>
            <w:pPr>
              <w:pStyle w:val="15"/>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条件报送</w:t>
            </w:r>
          </w:p>
        </w:tc>
        <w:tc>
          <w:tcPr>
            <w:tcW w:w="375" w:type="pct"/>
            <w:shd w:val="clear" w:color="auto" w:fill="D9D9D9"/>
            <w:vAlign w:val="center"/>
          </w:tcPr>
          <w:p>
            <w:pPr>
              <w:pStyle w:val="15"/>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归档</w:t>
            </w:r>
          </w:p>
        </w:tc>
        <w:tc>
          <w:tcPr>
            <w:tcW w:w="375" w:type="pct"/>
            <w:shd w:val="clear" w:color="auto" w:fill="D9D9D9"/>
            <w:vAlign w:val="center"/>
          </w:tcPr>
          <w:p>
            <w:pPr>
              <w:pStyle w:val="15"/>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查验</w:t>
            </w:r>
          </w:p>
        </w:tc>
        <w:tc>
          <w:tcPr>
            <w:tcW w:w="375" w:type="pct"/>
            <w:shd w:val="clear" w:color="auto" w:fill="D9D9D9"/>
            <w:vAlign w:val="center"/>
          </w:tcPr>
          <w:p>
            <w:pPr>
              <w:pStyle w:val="15"/>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代保管</w:t>
            </w:r>
          </w:p>
        </w:tc>
        <w:tc>
          <w:tcPr>
            <w:tcW w:w="375" w:type="pct"/>
            <w:shd w:val="clear" w:color="auto" w:fill="D9D9D9"/>
            <w:vAlign w:val="center"/>
          </w:tcPr>
          <w:p>
            <w:pPr>
              <w:pStyle w:val="15"/>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核销</w:t>
            </w:r>
          </w:p>
        </w:tc>
        <w:tc>
          <w:tcPr>
            <w:tcW w:w="411" w:type="pct"/>
            <w:shd w:val="clear" w:color="auto" w:fill="D9D9D9"/>
          </w:tcPr>
          <w:p>
            <w:pPr>
              <w:pStyle w:val="15"/>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容缺报送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38" w:type="pct"/>
            <w:vAlign w:val="center"/>
          </w:tcPr>
          <w:p>
            <w:pPr>
              <w:pStyle w:val="1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w:t>
            </w:r>
          </w:p>
        </w:tc>
        <w:tc>
          <w:tcPr>
            <w:tcW w:w="2000" w:type="pct"/>
          </w:tcPr>
          <w:p>
            <w:pPr>
              <w:pStyle w:val="1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中华人民共和国扣缴企业所得税报告表</w:t>
            </w:r>
          </w:p>
        </w:tc>
        <w:tc>
          <w:tcPr>
            <w:tcW w:w="375" w:type="pct"/>
            <w:vAlign w:val="center"/>
          </w:tcPr>
          <w:p>
            <w:pPr>
              <w:pStyle w:val="1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375" w:type="pct"/>
            <w:vAlign w:val="center"/>
          </w:tcPr>
          <w:p>
            <w:pPr>
              <w:pStyle w:val="1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tc>
        <w:tc>
          <w:tcPr>
            <w:tcW w:w="375" w:type="pct"/>
            <w:vAlign w:val="center"/>
          </w:tcPr>
          <w:p>
            <w:pPr>
              <w:pStyle w:val="1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375" w:type="pct"/>
            <w:vAlign w:val="center"/>
          </w:tcPr>
          <w:p>
            <w:pPr>
              <w:pStyle w:val="1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tc>
        <w:tc>
          <w:tcPr>
            <w:tcW w:w="375" w:type="pct"/>
            <w:vAlign w:val="center"/>
          </w:tcPr>
          <w:p>
            <w:pPr>
              <w:pStyle w:val="1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tc>
        <w:tc>
          <w:tcPr>
            <w:tcW w:w="375" w:type="pct"/>
            <w:vAlign w:val="center"/>
          </w:tcPr>
          <w:p>
            <w:pPr>
              <w:pStyle w:val="1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tc>
        <w:tc>
          <w:tcPr>
            <w:tcW w:w="411" w:type="pct"/>
            <w:vAlign w:val="center"/>
          </w:tcPr>
          <w:p>
            <w:pPr>
              <w:pStyle w:val="1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338" w:type="pct"/>
            <w:vAlign w:val="center"/>
          </w:tcPr>
          <w:p>
            <w:pPr>
              <w:pStyle w:val="1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p>
        </w:tc>
        <w:tc>
          <w:tcPr>
            <w:tcW w:w="2000" w:type="pct"/>
          </w:tcPr>
          <w:p>
            <w:pPr>
              <w:pStyle w:val="1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非居民纳税人享受协定待遇信息报告表</w:t>
            </w:r>
          </w:p>
        </w:tc>
        <w:tc>
          <w:tcPr>
            <w:tcW w:w="375" w:type="pct"/>
            <w:vAlign w:val="center"/>
          </w:tcPr>
          <w:p>
            <w:pPr>
              <w:pStyle w:val="1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tc>
        <w:tc>
          <w:tcPr>
            <w:tcW w:w="375" w:type="pct"/>
            <w:vAlign w:val="center"/>
          </w:tcPr>
          <w:p>
            <w:pPr>
              <w:pStyle w:val="1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375" w:type="pct"/>
            <w:vAlign w:val="center"/>
          </w:tcPr>
          <w:p>
            <w:pPr>
              <w:pStyle w:val="1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375" w:type="pct"/>
            <w:vAlign w:val="center"/>
          </w:tcPr>
          <w:p>
            <w:pPr>
              <w:pStyle w:val="1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tc>
        <w:tc>
          <w:tcPr>
            <w:tcW w:w="375" w:type="pct"/>
            <w:vAlign w:val="center"/>
          </w:tcPr>
          <w:p>
            <w:pPr>
              <w:pStyle w:val="1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tc>
        <w:tc>
          <w:tcPr>
            <w:tcW w:w="375" w:type="pct"/>
            <w:vAlign w:val="center"/>
          </w:tcPr>
          <w:p>
            <w:pPr>
              <w:pStyle w:val="1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tc>
        <w:tc>
          <w:tcPr>
            <w:tcW w:w="411" w:type="pct"/>
            <w:vAlign w:val="center"/>
          </w:tcPr>
          <w:p>
            <w:pPr>
              <w:pStyle w:val="17"/>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tc>
      </w:tr>
    </w:tbl>
    <w:p>
      <w:pPr>
        <w:pStyle w:val="2"/>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、注意事项</w:t>
      </w:r>
    </w:p>
    <w:p>
      <w:pPr>
        <w:pageBreakBefore w:val="0"/>
        <w:kinsoku/>
        <w:wordWrap/>
        <w:overflowPunct/>
        <w:topLinePunct w:val="0"/>
        <w:autoSpaceDE/>
        <w:autoSpaceDN/>
        <w:bidi w:val="0"/>
        <w:adjustRightInd/>
        <w:snapToGrid/>
        <w:spacing w:before="157" w:beforeLines="50" w:after="157" w:afterLines="50" w:line="360" w:lineRule="auto"/>
        <w:ind w:firstLine="420"/>
        <w:textAlignment w:val="auto"/>
        <w:rPr>
          <w:rFonts w:hint="eastAsia" w:ascii="宋体" w:hAnsi="宋体" w:eastAsia="宋体" w:cs="宋体"/>
          <w:bCs/>
          <w:sz w:val="24"/>
          <w:szCs w:val="24"/>
          <w:shd w:val="clear" w:color="auto" w:fill="FFFFFF"/>
        </w:rPr>
      </w:pPr>
      <w:r>
        <w:rPr>
          <w:rFonts w:hint="eastAsia" w:ascii="宋体" w:hAnsi="宋体" w:eastAsia="宋体" w:cs="宋体"/>
          <w:bCs/>
          <w:sz w:val="24"/>
          <w:szCs w:val="24"/>
          <w:shd w:val="clear" w:color="auto" w:fill="FFFFFF"/>
        </w:rPr>
        <w:t>1. 纳税人对报送资料的真实性和合法性承担责任。</w:t>
      </w:r>
    </w:p>
    <w:p>
      <w:pPr>
        <w:pageBreakBefore w:val="0"/>
        <w:kinsoku/>
        <w:wordWrap/>
        <w:overflowPunct/>
        <w:topLinePunct w:val="0"/>
        <w:autoSpaceDE/>
        <w:autoSpaceDN/>
        <w:bidi w:val="0"/>
        <w:adjustRightInd/>
        <w:snapToGrid/>
        <w:spacing w:before="157" w:beforeLines="50" w:after="157" w:afterLines="50" w:line="360" w:lineRule="auto"/>
        <w:ind w:firstLine="420"/>
        <w:textAlignment w:val="auto"/>
        <w:rPr>
          <w:rFonts w:hint="eastAsia" w:ascii="宋体" w:hAnsi="宋体" w:eastAsia="宋体" w:cs="宋体"/>
          <w:sz w:val="24"/>
          <w:szCs w:val="24"/>
        </w:rPr>
      </w:pPr>
      <w:r>
        <w:rPr>
          <w:rFonts w:hint="eastAsia" w:ascii="宋体" w:hAnsi="宋体" w:eastAsia="宋体" w:cs="宋体"/>
          <w:bCs/>
          <w:sz w:val="24"/>
          <w:szCs w:val="24"/>
          <w:shd w:val="clear" w:color="auto" w:fill="FFFFFF"/>
        </w:rPr>
        <w:t>2. 已享受境外投资者再投资递延纳税的纳税人，发生清算、收回投资、股权转让等不再符合条件享受该项优惠的，而扣缴义务人未履行扣缴义务的情况下，纳税人可以选择“递延税款补缴”，自行申报补缴已递延的税款。</w:t>
      </w:r>
    </w:p>
    <w:p>
      <w:pPr>
        <w:pageBreakBefore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NzI4ZWE2YWFkODA1YzI5MjcwMzNkMTY5ZGQ3NTcifQ=="/>
  </w:docVars>
  <w:rsids>
    <w:rsidRoot w:val="00E676FC"/>
    <w:rsid w:val="00103297"/>
    <w:rsid w:val="00154832"/>
    <w:rsid w:val="003C53B2"/>
    <w:rsid w:val="004651D8"/>
    <w:rsid w:val="00503A7D"/>
    <w:rsid w:val="00527C6C"/>
    <w:rsid w:val="00537392"/>
    <w:rsid w:val="006B3965"/>
    <w:rsid w:val="00867C90"/>
    <w:rsid w:val="0087573E"/>
    <w:rsid w:val="00886A41"/>
    <w:rsid w:val="008F14CD"/>
    <w:rsid w:val="009045EE"/>
    <w:rsid w:val="0099308E"/>
    <w:rsid w:val="0099316D"/>
    <w:rsid w:val="00A66CFF"/>
    <w:rsid w:val="00B52B52"/>
    <w:rsid w:val="00B64166"/>
    <w:rsid w:val="00BB3C7E"/>
    <w:rsid w:val="00BF36F9"/>
    <w:rsid w:val="00DC2CB8"/>
    <w:rsid w:val="00E676FC"/>
    <w:rsid w:val="00F52909"/>
    <w:rsid w:val="00FB6241"/>
    <w:rsid w:val="00FC3B89"/>
    <w:rsid w:val="093D4BF1"/>
    <w:rsid w:val="122409FD"/>
    <w:rsid w:val="12A62CC4"/>
    <w:rsid w:val="23155A14"/>
    <w:rsid w:val="28B60BD0"/>
    <w:rsid w:val="321C56C6"/>
    <w:rsid w:val="3BE81B1F"/>
    <w:rsid w:val="3DC3218E"/>
    <w:rsid w:val="3FFB0EF3"/>
    <w:rsid w:val="52E53CDC"/>
    <w:rsid w:val="56D63B7F"/>
    <w:rsid w:val="63243DB2"/>
    <w:rsid w:val="650A4F6E"/>
    <w:rsid w:val="6F091BD1"/>
    <w:rsid w:val="78A9291B"/>
    <w:rsid w:val="7F3F34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2"/>
    <w:qFormat/>
    <w:uiPriority w:val="0"/>
    <w:pPr>
      <w:keepNext/>
      <w:keepLines/>
      <w:ind w:left="1303" w:hanging="660"/>
      <w:outlineLvl w:val="1"/>
    </w:pPr>
    <w:rPr>
      <w:rFonts w:ascii="Arial" w:hAnsi="Arial" w:eastAsia="黑体"/>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qFormat/>
    <w:uiPriority w:val="0"/>
    <w:pPr>
      <w:spacing w:after="120"/>
    </w:pPr>
    <w:rPr>
      <w:rFonts w:ascii="Times New Roman" w:hAnsi="Times New Roman" w:cs="Calibri"/>
      <w:szCs w:val="21"/>
    </w:rPr>
  </w:style>
  <w:style w:type="paragraph" w:styleId="5">
    <w:name w:val="Balloon Text"/>
    <w:basedOn w:val="1"/>
    <w:link w:val="19"/>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2 Char"/>
    <w:basedOn w:val="9"/>
    <w:link w:val="3"/>
    <w:qFormat/>
    <w:uiPriority w:val="0"/>
    <w:rPr>
      <w:rFonts w:ascii="Arial" w:hAnsi="Arial" w:eastAsia="黑体" w:cs="Times New Roman"/>
      <w:bCs/>
      <w:kern w:val="2"/>
      <w:sz w:val="32"/>
      <w:szCs w:val="32"/>
    </w:rPr>
  </w:style>
  <w:style w:type="paragraph" w:styleId="13">
    <w:name w:val="List Paragraph"/>
    <w:basedOn w:val="1"/>
    <w:qFormat/>
    <w:uiPriority w:val="34"/>
    <w:pPr>
      <w:ind w:firstLine="420" w:firstLineChars="200"/>
    </w:pPr>
  </w:style>
  <w:style w:type="character" w:customStyle="1" w:styleId="14">
    <w:name w:val="正文文本 Char"/>
    <w:basedOn w:val="9"/>
    <w:link w:val="4"/>
    <w:qFormat/>
    <w:uiPriority w:val="0"/>
    <w:rPr>
      <w:rFonts w:ascii="Times New Roman" w:hAnsi="Times New Roman" w:eastAsia="宋体" w:cs="Calibri"/>
      <w:szCs w:val="21"/>
    </w:rPr>
  </w:style>
  <w:style w:type="paragraph" w:customStyle="1" w:styleId="15">
    <w:name w:val="表格列标题"/>
    <w:basedOn w:val="16"/>
    <w:qFormat/>
    <w:uiPriority w:val="0"/>
    <w:pPr>
      <w:jc w:val="center"/>
    </w:pPr>
    <w:rPr>
      <w:rFonts w:ascii="Arial" w:hAnsi="Arial" w:cs="Arial"/>
      <w:b/>
      <w:sz w:val="18"/>
    </w:rPr>
  </w:style>
  <w:style w:type="paragraph" w:customStyle="1" w:styleId="16">
    <w:name w:val="正文1"/>
    <w:qFormat/>
    <w:uiPriority w:val="0"/>
    <w:pPr>
      <w:widowControl w:val="0"/>
      <w:jc w:val="both"/>
    </w:pPr>
    <w:rPr>
      <w:rFonts w:ascii="Calibri" w:hAnsi="Calibri" w:eastAsia="宋体" w:cs="Times New Roman"/>
      <w:lang w:val="en-US" w:eastAsia="zh-CN" w:bidi="ar-SA"/>
    </w:rPr>
  </w:style>
  <w:style w:type="paragraph" w:customStyle="1" w:styleId="17">
    <w:name w:val="表格文字 左对齐"/>
    <w:basedOn w:val="18"/>
    <w:qFormat/>
    <w:uiPriority w:val="0"/>
    <w:rPr>
      <w:rFonts w:ascii="Arial" w:hAnsi="Arial" w:cs="Arial"/>
      <w:sz w:val="18"/>
    </w:rPr>
  </w:style>
  <w:style w:type="paragraph" w:customStyle="1" w:styleId="18">
    <w:name w:val="正文_1"/>
    <w:qFormat/>
    <w:uiPriority w:val="0"/>
    <w:rPr>
      <w:rFonts w:ascii="Times New Roman" w:hAnsi="Times New Roman" w:eastAsia="Times New Roman" w:cs="Times New Roman"/>
      <w:sz w:val="24"/>
      <w:szCs w:val="24"/>
      <w:lang w:val="en-US" w:eastAsia="zh-CN" w:bidi="ar-SA"/>
    </w:rPr>
  </w:style>
  <w:style w:type="character" w:customStyle="1" w:styleId="19">
    <w:name w:val="批注框文本 Char"/>
    <w:basedOn w:val="9"/>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905</Words>
  <Characters>922</Characters>
  <Lines>12</Lines>
  <Paragraphs>3</Paragraphs>
  <TotalTime>11</TotalTime>
  <ScaleCrop>false</ScaleCrop>
  <LinksUpToDate>false</LinksUpToDate>
  <CharactersWithSpaces>924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2024-03-27T02:20:00Z</dcterms:created>
  <dc:creator>逸恺 陈</dc:creator>
  <cp:lastModifiedBy>fzr</cp:lastModifiedBy>
  <dcterms:modified xsi:type="dcterms:W3CDTF">2025-07-12T13:09:39Z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D8B6F5BFD1EE493BAAFB9EA5AB2A4914_13</vt:lpwstr>
  </property>
  <property fmtid="{D5CDD505-2E9C-101B-9397-08002B2CF9AE}" pid="4" name="KSOTemplateDocerSaveRecord">
    <vt:lpwstr>eyJoZGlkIjoiYWI0MTczMTlmZGQwMDlkNjE0Y2E2NDViNmNjNWY1ZmYiLCJ1c2VySWQiOiI3MzkzMzY4MTcifQ==</vt:lpwstr>
  </property>
</Properties>
</file>