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sz w:val="24"/>
          <w:szCs w:val="24"/>
        </w:rPr>
      </w:pPr>
      <w:bookmarkStart w:id="1" w:name="_GoBack"/>
      <w:r>
        <w:rPr>
          <w:rFonts w:hint="eastAsia" w:ascii="宋体" w:hAnsi="宋体" w:eastAsia="宋体" w:cs="宋体"/>
          <w:sz w:val="24"/>
          <w:szCs w:val="24"/>
        </w:rPr>
        <w:t>5.5.3.1  耕地占用税申报</w:t>
      </w:r>
      <w:bookmarkEnd w:id="1"/>
      <w:r>
        <w:rPr>
          <w:rFonts w:hint="eastAsia" w:ascii="宋体" w:hAnsi="宋体" w:eastAsia="宋体" w:cs="宋体"/>
          <w:sz w:val="24"/>
          <w:szCs w:val="24"/>
        </w:rPr>
        <w:t>——2295</w:t>
      </w:r>
    </w:p>
    <w:p>
      <w:pPr>
        <w:pStyle w:val="2"/>
        <w:rPr>
          <w:rFonts w:hint="eastAsia"/>
        </w:rPr>
      </w:pPr>
    </w:p>
    <w:p>
      <w:pPr>
        <w:pStyle w:val="3"/>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一、业务概述</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在中华人民共和国境内</w:t>
      </w:r>
      <w:r>
        <w:rPr>
          <w:rFonts w:hint="eastAsia" w:ascii="宋体" w:hAnsi="宋体" w:eastAsia="宋体" w:cs="宋体"/>
          <w:sz w:val="24"/>
          <w:szCs w:val="24"/>
          <w:highlight w:val="yellow"/>
        </w:rPr>
        <w:t>占用耕地建设建筑物、构筑物或者从事非农业建设</w:t>
      </w:r>
      <w:r>
        <w:rPr>
          <w:rFonts w:hint="eastAsia" w:ascii="宋体" w:hAnsi="宋体" w:eastAsia="宋体" w:cs="宋体"/>
          <w:sz w:val="24"/>
          <w:szCs w:val="24"/>
        </w:rPr>
        <w:t>的单位或者个人，可通过此功能模块，</w:t>
      </w:r>
      <w:r>
        <w:rPr>
          <w:rFonts w:hint="eastAsia" w:ascii="宋体" w:hAnsi="宋体" w:eastAsia="宋体" w:cs="宋体"/>
          <w:sz w:val="24"/>
          <w:szCs w:val="24"/>
          <w:highlight w:val="yellow"/>
        </w:rPr>
        <w:t>向耕地所在地税务机关办理耕地占用税申报</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1.经批准占用耕地的，纳税人为农用地转用审批文件中标明的建设用地人。</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2.农用地转用审批文件中未标明建设用地人的，纳税人为用地申请人，其中</w:t>
      </w:r>
      <w:r>
        <w:rPr>
          <w:rFonts w:hint="eastAsia" w:ascii="宋体" w:hAnsi="宋体" w:eastAsia="宋体" w:cs="宋体"/>
          <w:sz w:val="24"/>
          <w:szCs w:val="24"/>
          <w:highlight w:val="yellow"/>
        </w:rPr>
        <w:t>用地申请人为各级人民政府的，由同级土地储备中心、自然资源主管部门或政府委托的其他部门、单位履行耕地占用税中报纳税义务</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highlight w:val="yellow"/>
        </w:rPr>
        <w:t>未经批准占用耕地的，纳税人为实际用地人</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耕地，是指用于种植农作物的</w:t>
      </w:r>
      <w:r>
        <w:rPr>
          <w:rFonts w:hint="eastAsia" w:ascii="宋体" w:hAnsi="宋体" w:eastAsia="宋体" w:cs="宋体"/>
          <w:sz w:val="24"/>
          <w:szCs w:val="24"/>
          <w:lang w:val="en-US" w:eastAsia="zh-CN"/>
        </w:rPr>
        <w:t>土</w:t>
      </w:r>
      <w:r>
        <w:rPr>
          <w:rFonts w:hint="eastAsia" w:ascii="宋体" w:hAnsi="宋体" w:eastAsia="宋体" w:cs="宋体"/>
          <w:sz w:val="24"/>
          <w:szCs w:val="24"/>
        </w:rPr>
        <w:t>地。耕地占用税以纳税人实际占用的耕地面积为计税依据，按照规定的适用税额</w:t>
      </w:r>
      <w:r>
        <w:rPr>
          <w:rFonts w:hint="eastAsia" w:ascii="宋体" w:hAnsi="宋体" w:eastAsia="宋体" w:cs="宋体"/>
          <w:sz w:val="24"/>
          <w:szCs w:val="24"/>
          <w:lang w:val="en-US" w:eastAsia="zh-CN"/>
        </w:rPr>
        <w:t>一次</w:t>
      </w:r>
      <w:r>
        <w:rPr>
          <w:rFonts w:hint="eastAsia" w:ascii="宋体" w:hAnsi="宋体" w:eastAsia="宋体" w:cs="宋体"/>
          <w:sz w:val="24"/>
          <w:szCs w:val="24"/>
        </w:rPr>
        <w:t>性征收。</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耕地占用税的</w:t>
      </w:r>
      <w:r>
        <w:rPr>
          <w:rFonts w:hint="eastAsia" w:ascii="宋体" w:hAnsi="宋体" w:eastAsia="宋体" w:cs="宋体"/>
          <w:sz w:val="24"/>
          <w:szCs w:val="24"/>
          <w:highlight w:val="yellow"/>
        </w:rPr>
        <w:t>纳税义务发生时间为纳税人收到自然资源主管部门办理占用耕地手续的书面通知的当日</w:t>
      </w:r>
      <w:r>
        <w:rPr>
          <w:rFonts w:hint="eastAsia" w:ascii="宋体" w:hAnsi="宋体" w:eastAsia="宋体" w:cs="宋体"/>
          <w:sz w:val="24"/>
          <w:szCs w:val="24"/>
        </w:rPr>
        <w:t>。纳税人应当自纳税义务</w:t>
      </w:r>
      <w:r>
        <w:rPr>
          <w:rFonts w:hint="eastAsia" w:ascii="宋体" w:hAnsi="宋体" w:eastAsia="宋体" w:cs="宋体"/>
          <w:sz w:val="24"/>
          <w:szCs w:val="24"/>
          <w:highlight w:val="yellow"/>
        </w:rPr>
        <w:t>发生之日起三十日内申报缴</w:t>
      </w:r>
      <w:r>
        <w:rPr>
          <w:rFonts w:hint="eastAsia" w:ascii="宋体" w:hAnsi="宋体" w:eastAsia="宋体" w:cs="宋体"/>
          <w:sz w:val="24"/>
          <w:szCs w:val="24"/>
        </w:rPr>
        <w:t>纳耕地占用税。</w:t>
      </w:r>
    </w:p>
    <w:p>
      <w:pPr>
        <w:pStyle w:val="3"/>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二、办理流程</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耕地占用税申报即时办结。</w:t>
      </w:r>
    </w:p>
    <w:p>
      <w:pPr>
        <w:pStyle w:val="3"/>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三、操作步骤</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纳税人可通过以下功能路径办理耕地占用税申报：</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bookmarkStart w:id="0" w:name="_Hlk162356473"/>
      <w:r>
        <w:rPr>
          <w:rFonts w:hint="eastAsia" w:ascii="宋体" w:hAnsi="宋体" w:eastAsia="宋体" w:cs="宋体"/>
          <w:sz w:val="24"/>
          <w:szCs w:val="24"/>
        </w:rPr>
        <w:t>登录</w:t>
      </w:r>
      <w:r>
        <w:rPr>
          <w:rFonts w:hint="eastAsia" w:ascii="宋体" w:hAnsi="宋体" w:eastAsia="宋体" w:cs="宋体"/>
          <w:sz w:val="24"/>
          <w:szCs w:val="24"/>
          <w:lang w:val="en-US" w:eastAsia="zh-CN"/>
        </w:rPr>
        <w:t>新</w:t>
      </w:r>
      <w:r>
        <w:rPr>
          <w:rFonts w:hint="eastAsia" w:ascii="宋体" w:hAnsi="宋体" w:eastAsia="宋体" w:cs="宋体"/>
          <w:sz w:val="24"/>
          <w:szCs w:val="24"/>
        </w:rPr>
        <w:t>电子税局</w:t>
      </w:r>
      <w:bookmarkEnd w:id="0"/>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我要办税</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税费申报及缴纳</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财产和行为税税源采集及合并申报</w:t>
      </w:r>
      <w:r>
        <w:rPr>
          <w:rFonts w:hint="eastAsia" w:ascii="宋体" w:hAnsi="宋体" w:eastAsia="宋体" w:cs="宋体"/>
          <w:sz w:val="24"/>
          <w:szCs w:val="24"/>
          <w:lang w:eastAsia="zh-CN"/>
        </w:rPr>
        <w:t>】</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3.通过首页搜索栏输入关键字</w:t>
      </w:r>
      <w:r>
        <w:rPr>
          <w:rFonts w:hint="eastAsia" w:ascii="宋体" w:hAnsi="宋体" w:eastAsia="宋体" w:cs="宋体"/>
          <w:sz w:val="24"/>
          <w:szCs w:val="24"/>
          <w:lang w:val="en-US" w:eastAsia="zh-CN"/>
        </w:rPr>
        <w:t>查找，进入“财产和行为税税源采集及合并申报”模块进行申报。</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完成耕地占用税申报需要两步：耕地占用税税源信息采集→耕地占用税申报。</w:t>
      </w:r>
    </w:p>
    <w:p>
      <w:pPr>
        <w:pStyle w:val="4"/>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（一）耕地占用税税源信息采集</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1.纳税人可通过以下两种方式进入税源信息报告页面：</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（1）点击</w:t>
      </w:r>
      <w:r>
        <w:rPr>
          <w:rFonts w:hint="eastAsia" w:ascii="宋体" w:hAnsi="宋体" w:eastAsia="宋体" w:cs="宋体"/>
          <w:sz w:val="24"/>
          <w:szCs w:val="24"/>
          <w:lang w:eastAsia="zh-CN"/>
        </w:rPr>
        <w:t>【</w:t>
      </w:r>
      <w:r>
        <w:rPr>
          <w:rFonts w:hint="eastAsia" w:ascii="宋体" w:hAnsi="宋体" w:eastAsia="宋体" w:cs="宋体"/>
          <w:sz w:val="24"/>
          <w:szCs w:val="24"/>
        </w:rPr>
        <w:t>新增税种</w:t>
      </w:r>
      <w:r>
        <w:rPr>
          <w:rFonts w:hint="eastAsia" w:ascii="宋体" w:hAnsi="宋体" w:eastAsia="宋体" w:cs="宋体"/>
          <w:sz w:val="24"/>
          <w:szCs w:val="24"/>
          <w:lang w:eastAsia="zh-CN"/>
        </w:rPr>
        <w:t>】</w:t>
      </w:r>
      <w:r>
        <w:rPr>
          <w:rFonts w:hint="eastAsia" w:ascii="宋体" w:hAnsi="宋体" w:eastAsia="宋体" w:cs="宋体"/>
          <w:sz w:val="24"/>
          <w:szCs w:val="24"/>
        </w:rPr>
        <w:t>卡片-勾选增加本期申报税种-</w:t>
      </w:r>
      <w:r>
        <w:rPr>
          <w:rFonts w:hint="eastAsia" w:ascii="宋体" w:hAnsi="宋体" w:eastAsia="宋体" w:cs="宋体"/>
          <w:sz w:val="24"/>
          <w:szCs w:val="24"/>
          <w:lang w:eastAsia="zh-CN"/>
        </w:rPr>
        <w:t>【</w:t>
      </w:r>
      <w:r>
        <w:rPr>
          <w:rFonts w:hint="eastAsia" w:ascii="宋体" w:hAnsi="宋体" w:eastAsia="宋体" w:cs="宋体"/>
          <w:sz w:val="24"/>
          <w:szCs w:val="24"/>
        </w:rPr>
        <w:t>税源采集</w:t>
      </w:r>
      <w:r>
        <w:rPr>
          <w:rFonts w:hint="eastAsia" w:ascii="宋体" w:hAnsi="宋体" w:eastAsia="宋体" w:cs="宋体"/>
          <w:sz w:val="24"/>
          <w:szCs w:val="24"/>
          <w:lang w:eastAsia="zh-CN"/>
        </w:rPr>
        <w:t>】</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（2）点击</w:t>
      </w:r>
      <w:r>
        <w:rPr>
          <w:rFonts w:hint="eastAsia" w:ascii="宋体" w:hAnsi="宋体" w:eastAsia="宋体" w:cs="宋体"/>
          <w:sz w:val="24"/>
          <w:szCs w:val="24"/>
          <w:lang w:eastAsia="zh-CN"/>
        </w:rPr>
        <w:t>【</w:t>
      </w:r>
      <w:r>
        <w:rPr>
          <w:rFonts w:hint="eastAsia" w:ascii="宋体" w:hAnsi="宋体" w:eastAsia="宋体" w:cs="宋体"/>
          <w:sz w:val="24"/>
          <w:szCs w:val="24"/>
        </w:rPr>
        <w:t>填表式申报</w:t>
      </w:r>
      <w:r>
        <w:rPr>
          <w:rFonts w:hint="eastAsia" w:ascii="宋体" w:hAnsi="宋体" w:eastAsia="宋体" w:cs="宋体"/>
          <w:sz w:val="24"/>
          <w:szCs w:val="24"/>
          <w:lang w:eastAsia="zh-CN"/>
        </w:rPr>
        <w:t>】</w:t>
      </w:r>
      <w:r>
        <w:rPr>
          <w:rFonts w:hint="eastAsia" w:ascii="宋体" w:hAnsi="宋体" w:eastAsia="宋体" w:cs="宋体"/>
          <w:sz w:val="24"/>
          <w:szCs w:val="24"/>
        </w:rPr>
        <w:t>-在页面左侧选择相应的税源明细表。</w:t>
      </w:r>
    </w:p>
    <w:p>
      <w:pPr>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792095"/>
            <wp:effectExtent l="0" t="0" r="2540" b="8255"/>
            <wp:docPr id="14719831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83179"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792095"/>
                    </a:xfrm>
                    <a:prstGeom prst="rect">
                      <a:avLst/>
                    </a:prstGeom>
                    <a:noFill/>
                    <a:ln>
                      <a:noFill/>
                    </a:ln>
                  </pic:spPr>
                </pic:pic>
              </a:graphicData>
            </a:graphic>
          </wp:inline>
        </w:drawing>
      </w:r>
    </w:p>
    <w:p>
      <w:pPr>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777490"/>
            <wp:effectExtent l="0" t="0" r="2540" b="3810"/>
            <wp:docPr id="17799993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99318"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2777490"/>
                    </a:xfrm>
                    <a:prstGeom prst="rect">
                      <a:avLst/>
                    </a:prstGeom>
                    <a:noFill/>
                    <a:ln>
                      <a:noFill/>
                    </a:ln>
                  </pic:spPr>
                </pic:pic>
              </a:graphicData>
            </a:graphic>
          </wp:inline>
        </w:drawing>
      </w:r>
    </w:p>
    <w:p>
      <w:pPr>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787650"/>
            <wp:effectExtent l="0" t="0" r="2540" b="0"/>
            <wp:docPr id="181937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7670" name="图片 1"/>
                    <pic:cNvPicPr>
                      <a:picLocks noChangeAspect="1"/>
                    </pic:cNvPicPr>
                  </pic:nvPicPr>
                  <pic:blipFill>
                    <a:blip r:embed="rId6"/>
                    <a:stretch>
                      <a:fillRect/>
                    </a:stretch>
                  </pic:blipFill>
                  <pic:spPr>
                    <a:xfrm>
                      <a:off x="0" y="0"/>
                      <a:ext cx="5274310" cy="2787650"/>
                    </a:xfrm>
                    <a:prstGeom prst="rect">
                      <a:avLst/>
                    </a:prstGeom>
                  </pic:spPr>
                </pic:pic>
              </a:graphicData>
            </a:graphic>
          </wp:inline>
        </w:drawing>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2.点击</w:t>
      </w:r>
      <w:r>
        <w:rPr>
          <w:rFonts w:hint="eastAsia" w:ascii="宋体" w:hAnsi="宋体" w:eastAsia="宋体" w:cs="宋体"/>
          <w:sz w:val="24"/>
          <w:szCs w:val="24"/>
          <w:lang w:eastAsia="zh-CN"/>
        </w:rPr>
        <w:t>【</w:t>
      </w:r>
      <w:r>
        <w:rPr>
          <w:rFonts w:hint="eastAsia" w:ascii="宋体" w:hAnsi="宋体" w:eastAsia="宋体" w:cs="宋体"/>
          <w:sz w:val="24"/>
          <w:szCs w:val="24"/>
        </w:rPr>
        <w:t>税源采集</w:t>
      </w:r>
      <w:r>
        <w:rPr>
          <w:rFonts w:hint="eastAsia" w:ascii="宋体" w:hAnsi="宋体" w:eastAsia="宋体" w:cs="宋体"/>
          <w:sz w:val="24"/>
          <w:szCs w:val="24"/>
          <w:lang w:eastAsia="zh-CN"/>
        </w:rPr>
        <w:t>】</w:t>
      </w:r>
      <w:r>
        <w:rPr>
          <w:rFonts w:hint="eastAsia" w:ascii="宋体" w:hAnsi="宋体" w:eastAsia="宋体" w:cs="宋体"/>
          <w:sz w:val="24"/>
          <w:szCs w:val="24"/>
        </w:rPr>
        <w:t>，进入耕地占用税税源明细表，点击</w:t>
      </w:r>
      <w:r>
        <w:rPr>
          <w:rFonts w:hint="eastAsia" w:ascii="宋体" w:hAnsi="宋体" w:eastAsia="宋体" w:cs="宋体"/>
          <w:sz w:val="24"/>
          <w:szCs w:val="24"/>
          <w:lang w:eastAsia="zh-CN"/>
        </w:rPr>
        <w:t>【</w:t>
      </w:r>
      <w:r>
        <w:rPr>
          <w:rFonts w:hint="eastAsia" w:ascii="宋体" w:hAnsi="宋体" w:eastAsia="宋体" w:cs="宋体"/>
          <w:sz w:val="24"/>
          <w:szCs w:val="24"/>
        </w:rPr>
        <w:t>新增税源</w:t>
      </w:r>
      <w:r>
        <w:rPr>
          <w:rFonts w:hint="eastAsia" w:ascii="宋体" w:hAnsi="宋体" w:eastAsia="宋体" w:cs="宋体"/>
          <w:sz w:val="24"/>
          <w:szCs w:val="24"/>
          <w:lang w:eastAsia="zh-CN"/>
        </w:rPr>
        <w:t>】</w:t>
      </w:r>
      <w:r>
        <w:rPr>
          <w:rFonts w:hint="eastAsia" w:ascii="宋体" w:hAnsi="宋体" w:eastAsia="宋体" w:cs="宋体"/>
          <w:sz w:val="24"/>
          <w:szCs w:val="24"/>
        </w:rPr>
        <w:t>，进入耕地占用税税源信息表，包含税源信息、税源明细、附件资料三部分信息。</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税源信息：纳税人据实选择“占地方式”，其中“损毁耕地”可与其他四种方式同时进行选择，也可单独选择。选择的“占地方式”不同,需要填写的基本信息内容不同,纳税人根据提示进行填写即可。</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税源明细：点击</w:t>
      </w:r>
      <w:r>
        <w:rPr>
          <w:rFonts w:hint="eastAsia" w:ascii="宋体" w:hAnsi="宋体" w:eastAsia="宋体" w:cs="宋体"/>
          <w:sz w:val="24"/>
          <w:szCs w:val="24"/>
          <w:lang w:eastAsia="zh-CN"/>
        </w:rPr>
        <w:t>【</w:t>
      </w:r>
      <w:r>
        <w:rPr>
          <w:rFonts w:hint="eastAsia" w:ascii="宋体" w:hAnsi="宋体" w:eastAsia="宋体" w:cs="宋体"/>
          <w:sz w:val="24"/>
          <w:szCs w:val="24"/>
        </w:rPr>
        <w:t>新增行</w:t>
      </w:r>
      <w:r>
        <w:rPr>
          <w:rFonts w:hint="eastAsia" w:ascii="宋体" w:hAnsi="宋体" w:eastAsia="宋体" w:cs="宋体"/>
          <w:sz w:val="24"/>
          <w:szCs w:val="24"/>
          <w:lang w:eastAsia="zh-CN"/>
        </w:rPr>
        <w:t>】</w:t>
      </w:r>
      <w:r>
        <w:rPr>
          <w:rFonts w:hint="eastAsia" w:ascii="宋体" w:hAnsi="宋体" w:eastAsia="宋体" w:cs="宋体"/>
          <w:sz w:val="24"/>
          <w:szCs w:val="24"/>
        </w:rPr>
        <w:t>，填写占地位置、占地用途等信息。</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附件资料：如需上传附件资料,点击对应资料右方</w:t>
      </w:r>
      <w:r>
        <w:rPr>
          <w:rFonts w:hint="eastAsia" w:ascii="宋体" w:hAnsi="宋体" w:eastAsia="宋体" w:cs="宋体"/>
          <w:sz w:val="24"/>
          <w:szCs w:val="24"/>
          <w:lang w:eastAsia="zh-CN"/>
        </w:rPr>
        <w:t>【</w:t>
      </w:r>
      <w:r>
        <w:rPr>
          <w:rFonts w:hint="eastAsia" w:ascii="宋体" w:hAnsi="宋体" w:eastAsia="宋体" w:cs="宋体"/>
          <w:sz w:val="24"/>
          <w:szCs w:val="24"/>
        </w:rPr>
        <w:t>本地上传</w:t>
      </w:r>
      <w:r>
        <w:rPr>
          <w:rFonts w:hint="eastAsia" w:ascii="宋体" w:hAnsi="宋体" w:eastAsia="宋体" w:cs="宋体"/>
          <w:sz w:val="24"/>
          <w:szCs w:val="24"/>
          <w:lang w:eastAsia="zh-CN"/>
        </w:rPr>
        <w:t>】</w:t>
      </w:r>
      <w:r>
        <w:rPr>
          <w:rFonts w:hint="eastAsia" w:ascii="宋体" w:hAnsi="宋体" w:eastAsia="宋体" w:cs="宋体"/>
          <w:sz w:val="24"/>
          <w:szCs w:val="24"/>
        </w:rPr>
        <w:t>按钮。</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耕地占用税税源采集成功后点击</w:t>
      </w:r>
      <w:r>
        <w:rPr>
          <w:rFonts w:hint="eastAsia" w:ascii="宋体" w:hAnsi="宋体" w:eastAsia="宋体" w:cs="宋体"/>
          <w:sz w:val="24"/>
          <w:szCs w:val="24"/>
          <w:lang w:eastAsia="zh-CN"/>
        </w:rPr>
        <w:t>【</w:t>
      </w:r>
      <w:r>
        <w:rPr>
          <w:rFonts w:hint="eastAsia" w:ascii="宋体" w:hAnsi="宋体" w:eastAsia="宋体" w:cs="宋体"/>
          <w:sz w:val="24"/>
          <w:szCs w:val="24"/>
        </w:rPr>
        <w:t>保存</w:t>
      </w:r>
      <w:r>
        <w:rPr>
          <w:rFonts w:hint="eastAsia" w:ascii="宋体" w:hAnsi="宋体" w:eastAsia="宋体" w:cs="宋体"/>
          <w:sz w:val="24"/>
          <w:szCs w:val="24"/>
          <w:lang w:eastAsia="zh-CN"/>
        </w:rPr>
        <w:t>】</w:t>
      </w:r>
      <w:r>
        <w:rPr>
          <w:rFonts w:hint="eastAsia" w:ascii="宋体" w:hAnsi="宋体" w:eastAsia="宋体" w:cs="宋体"/>
          <w:sz w:val="24"/>
          <w:szCs w:val="24"/>
        </w:rPr>
        <w:t>,进入耕地占用税税源明细信息页面。</w:t>
      </w:r>
    </w:p>
    <w:p>
      <w:pPr>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1211580"/>
            <wp:effectExtent l="0" t="0" r="2540" b="7620"/>
            <wp:docPr id="7994868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86876" name="图片 1"/>
                    <pic:cNvPicPr>
                      <a:picLocks noChangeAspect="1"/>
                    </pic:cNvPicPr>
                  </pic:nvPicPr>
                  <pic:blipFill>
                    <a:blip r:embed="rId7"/>
                    <a:stretch>
                      <a:fillRect/>
                    </a:stretch>
                  </pic:blipFill>
                  <pic:spPr>
                    <a:xfrm>
                      <a:off x="0" y="0"/>
                      <a:ext cx="5274310" cy="1211580"/>
                    </a:xfrm>
                    <a:prstGeom prst="rect">
                      <a:avLst/>
                    </a:prstGeom>
                  </pic:spPr>
                </pic:pic>
              </a:graphicData>
            </a:graphic>
          </wp:inline>
        </w:drawing>
      </w:r>
    </w:p>
    <w:p>
      <w:pPr>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787650"/>
            <wp:effectExtent l="0" t="0" r="2540" b="0"/>
            <wp:docPr id="14345182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18241"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2787650"/>
                    </a:xfrm>
                    <a:prstGeom prst="rect">
                      <a:avLst/>
                    </a:prstGeom>
                    <a:noFill/>
                    <a:ln>
                      <a:noFill/>
                    </a:ln>
                  </pic:spPr>
                </pic:pic>
              </a:graphicData>
            </a:graphic>
          </wp:inline>
        </w:drawing>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若税源信息有误,可点击修改或删除,如需同步申报其他税源，点击</w:t>
      </w:r>
      <w:r>
        <w:rPr>
          <w:rFonts w:hint="eastAsia" w:ascii="宋体" w:hAnsi="宋体" w:eastAsia="宋体" w:cs="宋体"/>
          <w:sz w:val="24"/>
          <w:szCs w:val="24"/>
          <w:lang w:eastAsia="zh-CN"/>
        </w:rPr>
        <w:t>【</w:t>
      </w:r>
      <w:r>
        <w:rPr>
          <w:rFonts w:hint="eastAsia" w:ascii="宋体" w:hAnsi="宋体" w:eastAsia="宋体" w:cs="宋体"/>
          <w:sz w:val="24"/>
          <w:szCs w:val="24"/>
        </w:rPr>
        <w:t>新增税源</w:t>
      </w:r>
      <w:r>
        <w:rPr>
          <w:rFonts w:hint="eastAsia" w:ascii="宋体" w:hAnsi="宋体" w:eastAsia="宋体" w:cs="宋体"/>
          <w:sz w:val="24"/>
          <w:szCs w:val="24"/>
          <w:lang w:eastAsia="zh-CN"/>
        </w:rPr>
        <w:t>】</w:t>
      </w:r>
      <w:r>
        <w:rPr>
          <w:rFonts w:hint="eastAsia" w:ascii="宋体" w:hAnsi="宋体" w:eastAsia="宋体" w:cs="宋体"/>
          <w:sz w:val="24"/>
          <w:szCs w:val="24"/>
        </w:rPr>
        <w:t>。确认无误后，点击</w:t>
      </w:r>
      <w:r>
        <w:rPr>
          <w:rFonts w:hint="eastAsia" w:ascii="宋体" w:hAnsi="宋体" w:eastAsia="宋体" w:cs="宋体"/>
          <w:sz w:val="24"/>
          <w:szCs w:val="24"/>
          <w:lang w:eastAsia="zh-CN"/>
        </w:rPr>
        <w:t>【</w:t>
      </w:r>
      <w:r>
        <w:rPr>
          <w:rFonts w:hint="eastAsia" w:ascii="宋体" w:hAnsi="宋体" w:eastAsia="宋体" w:cs="宋体"/>
          <w:sz w:val="24"/>
          <w:szCs w:val="24"/>
        </w:rPr>
        <w:t>提交</w:t>
      </w:r>
      <w:r>
        <w:rPr>
          <w:rFonts w:hint="eastAsia" w:ascii="宋体" w:hAnsi="宋体" w:eastAsia="宋体" w:cs="宋体"/>
          <w:sz w:val="24"/>
          <w:szCs w:val="24"/>
          <w:lang w:eastAsia="zh-CN"/>
        </w:rPr>
        <w:t>】</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832735"/>
            <wp:effectExtent l="0" t="0" r="2540" b="5715"/>
            <wp:docPr id="80467189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71891"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2832735"/>
                    </a:xfrm>
                    <a:prstGeom prst="rect">
                      <a:avLst/>
                    </a:prstGeom>
                    <a:noFill/>
                    <a:ln>
                      <a:noFill/>
                    </a:ln>
                  </pic:spPr>
                </pic:pic>
              </a:graphicData>
            </a:graphic>
          </wp:inline>
        </w:drawing>
      </w:r>
    </w:p>
    <w:p>
      <w:pPr>
        <w:pStyle w:val="4"/>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（二）耕地占用税申报</w:t>
      </w:r>
    </w:p>
    <w:p>
      <w:pPr>
        <w:pStyle w:val="5"/>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1.确认式申报</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自动带出本期应申报的耕地占用税卡片，可以自行勾选单个或多个税种进行申报，点击右下角</w:t>
      </w:r>
      <w:r>
        <w:rPr>
          <w:rFonts w:hint="eastAsia" w:ascii="宋体" w:hAnsi="宋体" w:eastAsia="宋体" w:cs="宋体"/>
          <w:sz w:val="24"/>
          <w:szCs w:val="24"/>
          <w:lang w:eastAsia="zh-CN"/>
        </w:rPr>
        <w:t>【</w:t>
      </w:r>
      <w:r>
        <w:rPr>
          <w:rFonts w:hint="eastAsia" w:ascii="宋体" w:hAnsi="宋体" w:eastAsia="宋体" w:cs="宋体"/>
          <w:sz w:val="24"/>
          <w:szCs w:val="24"/>
        </w:rPr>
        <w:t>提交申报</w:t>
      </w:r>
      <w:r>
        <w:rPr>
          <w:rFonts w:hint="eastAsia" w:ascii="宋体" w:hAnsi="宋体" w:eastAsia="宋体" w:cs="宋体"/>
          <w:sz w:val="24"/>
          <w:szCs w:val="24"/>
          <w:lang w:eastAsia="zh-CN"/>
        </w:rPr>
        <w:t>】</w:t>
      </w:r>
      <w:r>
        <w:rPr>
          <w:rFonts w:hint="eastAsia" w:ascii="宋体" w:hAnsi="宋体" w:eastAsia="宋体" w:cs="宋体"/>
          <w:sz w:val="24"/>
          <w:szCs w:val="24"/>
        </w:rPr>
        <w:t>，申报成功。</w:t>
      </w:r>
    </w:p>
    <w:p>
      <w:pPr>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999740"/>
            <wp:effectExtent l="0" t="0" r="2540" b="0"/>
            <wp:docPr id="18121907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90714"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2999740"/>
                    </a:xfrm>
                    <a:prstGeom prst="rect">
                      <a:avLst/>
                    </a:prstGeom>
                    <a:noFill/>
                    <a:ln>
                      <a:noFill/>
                    </a:ln>
                  </pic:spPr>
                </pic:pic>
              </a:graphicData>
            </a:graphic>
          </wp:inline>
        </w:drawing>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勾选</w:t>
      </w:r>
      <w:r>
        <w:rPr>
          <w:rFonts w:hint="eastAsia" w:ascii="宋体" w:hAnsi="宋体" w:eastAsia="宋体" w:cs="宋体"/>
          <w:sz w:val="24"/>
          <w:szCs w:val="24"/>
          <w:lang w:eastAsia="zh-CN"/>
        </w:rPr>
        <w:t>【</w:t>
      </w:r>
      <w:r>
        <w:rPr>
          <w:rFonts w:hint="eastAsia" w:ascii="宋体" w:hAnsi="宋体" w:eastAsia="宋体" w:cs="宋体"/>
          <w:sz w:val="24"/>
          <w:szCs w:val="24"/>
        </w:rPr>
        <w:t>普惠减免</w:t>
      </w:r>
      <w:r>
        <w:rPr>
          <w:rFonts w:hint="eastAsia" w:ascii="宋体" w:hAnsi="宋体" w:eastAsia="宋体" w:cs="宋体"/>
          <w:sz w:val="24"/>
          <w:szCs w:val="24"/>
          <w:lang w:eastAsia="zh-CN"/>
        </w:rPr>
        <w:t>】</w:t>
      </w:r>
      <w:r>
        <w:rPr>
          <w:rFonts w:hint="eastAsia" w:ascii="宋体" w:hAnsi="宋体" w:eastAsia="宋体" w:cs="宋体"/>
          <w:sz w:val="24"/>
          <w:szCs w:val="24"/>
        </w:rPr>
        <w:t>，可自动享受“六税两费”减半征收等普惠减免</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3007995"/>
            <wp:effectExtent l="0" t="0" r="2540" b="1905"/>
            <wp:docPr id="1592087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8750" name="图片 1"/>
                    <pic:cNvPicPr>
                      <a:picLocks noChangeAspect="1"/>
                    </pic:cNvPicPr>
                  </pic:nvPicPr>
                  <pic:blipFill>
                    <a:blip r:embed="rId11"/>
                    <a:stretch>
                      <a:fillRect/>
                    </a:stretch>
                  </pic:blipFill>
                  <pic:spPr>
                    <a:xfrm>
                      <a:off x="0" y="0"/>
                      <a:ext cx="5274310" cy="3007995"/>
                    </a:xfrm>
                    <a:prstGeom prst="rect">
                      <a:avLst/>
                    </a:prstGeom>
                  </pic:spPr>
                </pic:pic>
              </a:graphicData>
            </a:graphic>
          </wp:inline>
        </w:drawing>
      </w:r>
    </w:p>
    <w:p>
      <w:pPr>
        <w:pStyle w:val="5"/>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2.填表式申报</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若纳税人想要确认所选税种申报及减免税明细，可选择</w:t>
      </w:r>
      <w:r>
        <w:rPr>
          <w:rFonts w:hint="eastAsia" w:ascii="宋体" w:hAnsi="宋体" w:eastAsia="宋体" w:cs="宋体"/>
          <w:sz w:val="24"/>
          <w:szCs w:val="24"/>
          <w:lang w:eastAsia="zh-CN"/>
        </w:rPr>
        <w:t>【</w:t>
      </w:r>
      <w:r>
        <w:rPr>
          <w:rFonts w:hint="eastAsia" w:ascii="宋体" w:hAnsi="宋体" w:eastAsia="宋体" w:cs="宋体"/>
          <w:sz w:val="24"/>
          <w:szCs w:val="24"/>
        </w:rPr>
        <w:t>填表式申报</w:t>
      </w:r>
      <w:r>
        <w:rPr>
          <w:rFonts w:hint="eastAsia" w:ascii="宋体" w:hAnsi="宋体" w:eastAsia="宋体" w:cs="宋体"/>
          <w:sz w:val="24"/>
          <w:szCs w:val="24"/>
          <w:lang w:eastAsia="zh-CN"/>
        </w:rPr>
        <w:t>】</w:t>
      </w:r>
      <w:r>
        <w:rPr>
          <w:rFonts w:hint="eastAsia" w:ascii="宋体" w:hAnsi="宋体" w:eastAsia="宋体" w:cs="宋体"/>
          <w:sz w:val="24"/>
          <w:szCs w:val="24"/>
        </w:rPr>
        <w:t>，点击“减免税明细申报附表”，系统自动带出纳税人在税源信息采集的所有减免税信息，确认无误后，点击右下角</w:t>
      </w:r>
      <w:r>
        <w:rPr>
          <w:rFonts w:hint="eastAsia" w:ascii="宋体" w:hAnsi="宋体" w:eastAsia="宋体" w:cs="宋体"/>
          <w:sz w:val="24"/>
          <w:szCs w:val="24"/>
          <w:lang w:eastAsia="zh-CN"/>
        </w:rPr>
        <w:t>【</w:t>
      </w:r>
      <w:r>
        <w:rPr>
          <w:rFonts w:hint="eastAsia" w:ascii="宋体" w:hAnsi="宋体" w:eastAsia="宋体" w:cs="宋体"/>
          <w:sz w:val="24"/>
          <w:szCs w:val="24"/>
        </w:rPr>
        <w:t>提交申报</w:t>
      </w:r>
      <w:r>
        <w:rPr>
          <w:rFonts w:hint="eastAsia" w:ascii="宋体" w:hAnsi="宋体" w:eastAsia="宋体" w:cs="宋体"/>
          <w:sz w:val="24"/>
          <w:szCs w:val="24"/>
          <w:lang w:eastAsia="zh-CN"/>
        </w:rPr>
        <w:t>】</w:t>
      </w:r>
      <w:r>
        <w:rPr>
          <w:rFonts w:hint="eastAsia" w:ascii="宋体" w:hAnsi="宋体" w:eastAsia="宋体" w:cs="宋体"/>
          <w:sz w:val="24"/>
          <w:szCs w:val="24"/>
        </w:rPr>
        <w:t>即可。</w:t>
      </w:r>
    </w:p>
    <w:p>
      <w:pPr>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804795"/>
            <wp:effectExtent l="0" t="0" r="2540" b="0"/>
            <wp:docPr id="8597539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53927"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2804795"/>
                    </a:xfrm>
                    <a:prstGeom prst="rect">
                      <a:avLst/>
                    </a:prstGeom>
                    <a:noFill/>
                    <a:ln>
                      <a:noFill/>
                    </a:ln>
                  </pic:spPr>
                </pic:pic>
              </a:graphicData>
            </a:graphic>
          </wp:inline>
        </w:drawing>
      </w:r>
    </w:p>
    <w:p>
      <w:pPr>
        <w:pStyle w:val="3"/>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四、报送资料</w:t>
      </w:r>
    </w:p>
    <w:tbl>
      <w:tblPr>
        <w:tblStyle w:val="17"/>
        <w:tblW w:w="45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3417"/>
        <w:gridCol w:w="637"/>
        <w:gridCol w:w="637"/>
        <w:gridCol w:w="637"/>
        <w:gridCol w:w="637"/>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7"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183"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报送资料名称</w:t>
            </w:r>
          </w:p>
        </w:tc>
        <w:tc>
          <w:tcPr>
            <w:tcW w:w="407"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必报</w:t>
            </w:r>
          </w:p>
        </w:tc>
        <w:tc>
          <w:tcPr>
            <w:tcW w:w="407"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条件报送</w:t>
            </w:r>
          </w:p>
        </w:tc>
        <w:tc>
          <w:tcPr>
            <w:tcW w:w="407"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归档</w:t>
            </w:r>
          </w:p>
        </w:tc>
        <w:tc>
          <w:tcPr>
            <w:tcW w:w="407"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查验</w:t>
            </w:r>
          </w:p>
        </w:tc>
        <w:tc>
          <w:tcPr>
            <w:tcW w:w="408" w:type="pct"/>
            <w:shd w:val="clear" w:color="auto" w:fill="auto"/>
            <w:noWrap w:val="0"/>
            <w:vAlign w:val="top"/>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容缺报送</w:t>
            </w:r>
          </w:p>
        </w:tc>
        <w:tc>
          <w:tcPr>
            <w:tcW w:w="408"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留存备查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367"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183" w:type="pct"/>
            <w:noWrap w:val="0"/>
            <w:vAlign w:val="center"/>
          </w:tcPr>
          <w:p>
            <w:pPr>
              <w:pageBreakBefore w:val="0"/>
              <w:kinsoku/>
              <w:wordWrap/>
              <w:overflowPunct/>
              <w:topLinePunct w:val="0"/>
              <w:autoSpaceDE/>
              <w:autoSpaceDN/>
              <w:bidi w:val="0"/>
              <w:adjustRightInd/>
              <w:snapToGrid/>
              <w:spacing w:before="120" w:after="120"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农用地转用审批文件复印件</w:t>
            </w:r>
          </w:p>
        </w:tc>
        <w:tc>
          <w:tcPr>
            <w:tcW w:w="407" w:type="pct"/>
            <w:noWrap w:val="0"/>
            <w:vAlign w:val="top"/>
          </w:tcPr>
          <w:p>
            <w:pPr>
              <w:pageBreakBefore w:val="0"/>
              <w:widowControl/>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p>
        </w:tc>
        <w:tc>
          <w:tcPr>
            <w:tcW w:w="407"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407"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407"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408"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p>
        </w:tc>
        <w:tc>
          <w:tcPr>
            <w:tcW w:w="408"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7"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183" w:type="pct"/>
            <w:noWrap w:val="0"/>
            <w:vAlign w:val="center"/>
          </w:tcPr>
          <w:p>
            <w:pPr>
              <w:pageBreakBefore w:val="0"/>
              <w:kinsoku/>
              <w:wordWrap/>
              <w:overflowPunct/>
              <w:topLinePunct w:val="0"/>
              <w:autoSpaceDE/>
              <w:autoSpaceDN/>
              <w:bidi w:val="0"/>
              <w:adjustRightInd/>
              <w:snapToGrid/>
              <w:spacing w:before="120" w:after="120"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临时占地批准的相关材料复印件</w:t>
            </w:r>
          </w:p>
        </w:tc>
        <w:tc>
          <w:tcPr>
            <w:tcW w:w="407" w:type="pct"/>
            <w:noWrap w:val="0"/>
            <w:vAlign w:val="top"/>
          </w:tcPr>
          <w:p>
            <w:pPr>
              <w:pageBreakBefore w:val="0"/>
              <w:widowControl/>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p>
        </w:tc>
        <w:tc>
          <w:tcPr>
            <w:tcW w:w="407" w:type="pct"/>
            <w:noWrap w:val="0"/>
            <w:vAlign w:val="center"/>
          </w:tcPr>
          <w:p>
            <w:pPr>
              <w:pageBreakBefore w:val="0"/>
              <w:widowControl/>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407" w:type="pct"/>
            <w:noWrap w:val="0"/>
            <w:vAlign w:val="center"/>
          </w:tcPr>
          <w:p>
            <w:pPr>
              <w:pageBreakBefore w:val="0"/>
              <w:widowControl/>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407"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p>
        </w:tc>
        <w:tc>
          <w:tcPr>
            <w:tcW w:w="408"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p>
        </w:tc>
        <w:tc>
          <w:tcPr>
            <w:tcW w:w="408"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7"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83" w:type="pct"/>
            <w:noWrap w:val="0"/>
            <w:vAlign w:val="center"/>
          </w:tcPr>
          <w:p>
            <w:pPr>
              <w:pageBreakBefore w:val="0"/>
              <w:kinsoku/>
              <w:wordWrap/>
              <w:overflowPunct/>
              <w:topLinePunct w:val="0"/>
              <w:autoSpaceDE/>
              <w:autoSpaceDN/>
              <w:bidi w:val="0"/>
              <w:adjustRightInd/>
              <w:snapToGrid/>
              <w:spacing w:before="120" w:after="120"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实际占地的相关证明材料复印件</w:t>
            </w:r>
          </w:p>
        </w:tc>
        <w:tc>
          <w:tcPr>
            <w:tcW w:w="407" w:type="pct"/>
            <w:noWrap w:val="0"/>
            <w:vAlign w:val="top"/>
          </w:tcPr>
          <w:p>
            <w:pPr>
              <w:pageBreakBefore w:val="0"/>
              <w:widowControl/>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p>
        </w:tc>
        <w:tc>
          <w:tcPr>
            <w:tcW w:w="407" w:type="pct"/>
            <w:noWrap w:val="0"/>
            <w:vAlign w:val="center"/>
          </w:tcPr>
          <w:p>
            <w:pPr>
              <w:pageBreakBefore w:val="0"/>
              <w:widowControl/>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407" w:type="pct"/>
            <w:noWrap w:val="0"/>
            <w:vAlign w:val="center"/>
          </w:tcPr>
          <w:p>
            <w:pPr>
              <w:pageBreakBefore w:val="0"/>
              <w:widowControl/>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407"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p>
        </w:tc>
        <w:tc>
          <w:tcPr>
            <w:tcW w:w="408"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p>
        </w:tc>
        <w:tc>
          <w:tcPr>
            <w:tcW w:w="408" w:type="pct"/>
            <w:noWrap w:val="0"/>
            <w:vAlign w:val="center"/>
          </w:tcPr>
          <w:p>
            <w:pPr>
              <w:pageBreakBefore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sz w:val="24"/>
                <w:szCs w:val="24"/>
              </w:rPr>
            </w:pPr>
          </w:p>
        </w:tc>
      </w:tr>
    </w:tbl>
    <w:p>
      <w:pPr>
        <w:pStyle w:val="3"/>
        <w:pageBreakBefore w:val="0"/>
        <w:kinsoku/>
        <w:wordWrap/>
        <w:overflowPunct/>
        <w:topLinePunct w:val="0"/>
        <w:autoSpaceDE/>
        <w:autoSpaceDN/>
        <w:bidi w:val="0"/>
        <w:adjustRightInd/>
        <w:snapToGrid/>
        <w:spacing w:before="120" w:after="120"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五、常见问题</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highlight w:val="yellow"/>
          <w:lang w:val="en-US" w:eastAsia="zh-CN"/>
        </w:rPr>
        <w:t>为什么我在录入耕地占用税税源时，会提示重复录入税源？</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w:t>
      </w:r>
      <w:r>
        <w:rPr>
          <w:rFonts w:hint="eastAsia" w:ascii="宋体" w:hAnsi="宋体" w:eastAsia="宋体" w:cs="宋体"/>
          <w:sz w:val="24"/>
          <w:szCs w:val="24"/>
          <w:highlight w:val="yellow"/>
          <w:lang w:val="en-US" w:eastAsia="zh-CN"/>
        </w:rPr>
        <w:t>当同一占地位置、用途、品目、子目的税源存在重复时，会有可能重复录入税源提示</w:t>
      </w:r>
      <w:r>
        <w:rPr>
          <w:rFonts w:hint="eastAsia" w:ascii="宋体" w:hAnsi="宋体" w:eastAsia="宋体" w:cs="宋体"/>
          <w:sz w:val="24"/>
          <w:szCs w:val="24"/>
          <w:lang w:val="en-US" w:eastAsia="zh-CN"/>
        </w:rPr>
        <w:t>。</w:t>
      </w:r>
    </w:p>
    <w:p>
      <w:pPr>
        <w:pageBreakBefore w:val="0"/>
        <w:kinsoku/>
        <w:wordWrap/>
        <w:overflowPunct/>
        <w:topLinePunct w:val="0"/>
        <w:autoSpaceDE/>
        <w:autoSpaceDN/>
        <w:bidi w:val="0"/>
        <w:adjustRightInd/>
        <w:snapToGrid/>
        <w:spacing w:before="12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如您在办理中有任何不明白的地方，请点击页面右侧税务虚拟员工“悦悦”</w:t>
      </w:r>
      <w:r>
        <w:rPr>
          <w:rFonts w:hint="eastAsia" w:ascii="宋体" w:hAnsi="宋体" w:eastAsia="宋体" w:cs="宋体"/>
          <w:sz w:val="24"/>
          <w:szCs w:val="24"/>
        </w:rPr>
        <w:drawing>
          <wp:inline distT="0" distB="0" distL="0" distR="0">
            <wp:extent cx="260985" cy="255270"/>
            <wp:effectExtent l="0" t="0" r="5715" b="0"/>
            <wp:docPr id="14619625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62529" name="图片 1"/>
                    <pic:cNvPicPr>
                      <a:picLocks noChangeAspect="1"/>
                    </pic:cNvPicPr>
                  </pic:nvPicPr>
                  <pic:blipFill>
                    <a:blip r:embed="rId13"/>
                    <a:stretch>
                      <a:fillRect/>
                    </a:stretch>
                  </pic:blipFill>
                  <pic:spPr>
                    <a:xfrm>
                      <a:off x="0" y="0"/>
                      <a:ext cx="268019" cy="261974"/>
                    </a:xfrm>
                    <a:prstGeom prst="rect">
                      <a:avLst/>
                    </a:prstGeom>
                  </pic:spPr>
                </pic:pic>
              </a:graphicData>
            </a:graphic>
          </wp:inline>
        </w:drawing>
      </w:r>
      <w:r>
        <w:rPr>
          <w:rFonts w:hint="eastAsia" w:ascii="宋体" w:hAnsi="宋体" w:eastAsia="宋体" w:cs="宋体"/>
          <w:sz w:val="24"/>
          <w:szCs w:val="24"/>
        </w:rPr>
        <w:t>进行在线咨询。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0ZmY2OWE1MDEyYTA2NTNlY2VkMTM1MzgzMjdjMGMifQ=="/>
  </w:docVars>
  <w:rsids>
    <w:rsidRoot w:val="001E4146"/>
    <w:rsid w:val="00002362"/>
    <w:rsid w:val="00043D35"/>
    <w:rsid w:val="00054520"/>
    <w:rsid w:val="00054D6D"/>
    <w:rsid w:val="000738C8"/>
    <w:rsid w:val="000935B4"/>
    <w:rsid w:val="000C5938"/>
    <w:rsid w:val="000E79F7"/>
    <w:rsid w:val="000E7B50"/>
    <w:rsid w:val="00150996"/>
    <w:rsid w:val="001631F4"/>
    <w:rsid w:val="00197695"/>
    <w:rsid w:val="001D0008"/>
    <w:rsid w:val="001E4146"/>
    <w:rsid w:val="001F1BDA"/>
    <w:rsid w:val="00212D81"/>
    <w:rsid w:val="00232C55"/>
    <w:rsid w:val="00246037"/>
    <w:rsid w:val="002552C4"/>
    <w:rsid w:val="00284782"/>
    <w:rsid w:val="002E3B92"/>
    <w:rsid w:val="00313B3E"/>
    <w:rsid w:val="003234A3"/>
    <w:rsid w:val="00333956"/>
    <w:rsid w:val="003A7AA2"/>
    <w:rsid w:val="003B2636"/>
    <w:rsid w:val="003C08D5"/>
    <w:rsid w:val="00400B12"/>
    <w:rsid w:val="004060AC"/>
    <w:rsid w:val="004668C4"/>
    <w:rsid w:val="00477C73"/>
    <w:rsid w:val="004B3BFC"/>
    <w:rsid w:val="004E3D4C"/>
    <w:rsid w:val="004F75C6"/>
    <w:rsid w:val="0052144D"/>
    <w:rsid w:val="00571C71"/>
    <w:rsid w:val="00582732"/>
    <w:rsid w:val="0059297B"/>
    <w:rsid w:val="00685FF9"/>
    <w:rsid w:val="006B55F7"/>
    <w:rsid w:val="006E2303"/>
    <w:rsid w:val="006E5BE2"/>
    <w:rsid w:val="00717728"/>
    <w:rsid w:val="00733FB5"/>
    <w:rsid w:val="007441C1"/>
    <w:rsid w:val="00745E61"/>
    <w:rsid w:val="00765ABC"/>
    <w:rsid w:val="00772F83"/>
    <w:rsid w:val="007B6E26"/>
    <w:rsid w:val="007E2BBB"/>
    <w:rsid w:val="00845488"/>
    <w:rsid w:val="008551D4"/>
    <w:rsid w:val="00856784"/>
    <w:rsid w:val="0086045B"/>
    <w:rsid w:val="008A12E9"/>
    <w:rsid w:val="008A5054"/>
    <w:rsid w:val="008B459F"/>
    <w:rsid w:val="008D51A5"/>
    <w:rsid w:val="00930B46"/>
    <w:rsid w:val="00935EFD"/>
    <w:rsid w:val="009A455C"/>
    <w:rsid w:val="009F5906"/>
    <w:rsid w:val="00A2387E"/>
    <w:rsid w:val="00A30046"/>
    <w:rsid w:val="00A818A9"/>
    <w:rsid w:val="00AD4C93"/>
    <w:rsid w:val="00B11F86"/>
    <w:rsid w:val="00B35AF6"/>
    <w:rsid w:val="00B4451C"/>
    <w:rsid w:val="00B55828"/>
    <w:rsid w:val="00BB23AC"/>
    <w:rsid w:val="00BC4273"/>
    <w:rsid w:val="00BD4CA8"/>
    <w:rsid w:val="00C07021"/>
    <w:rsid w:val="00C27CBE"/>
    <w:rsid w:val="00C6013B"/>
    <w:rsid w:val="00CD02D2"/>
    <w:rsid w:val="00CD362A"/>
    <w:rsid w:val="00CD761E"/>
    <w:rsid w:val="00D31F03"/>
    <w:rsid w:val="00D709CC"/>
    <w:rsid w:val="00D94DFA"/>
    <w:rsid w:val="00DA2C34"/>
    <w:rsid w:val="00DB123E"/>
    <w:rsid w:val="00DD1DD5"/>
    <w:rsid w:val="00DE1E5D"/>
    <w:rsid w:val="00EA05F6"/>
    <w:rsid w:val="00EC20F5"/>
    <w:rsid w:val="00ED4E9B"/>
    <w:rsid w:val="00F04F95"/>
    <w:rsid w:val="00F7767D"/>
    <w:rsid w:val="00FC1F12"/>
    <w:rsid w:val="00FF00BA"/>
    <w:rsid w:val="051B40C6"/>
    <w:rsid w:val="09B432A6"/>
    <w:rsid w:val="0A0617AC"/>
    <w:rsid w:val="1A946F8E"/>
    <w:rsid w:val="22D62815"/>
    <w:rsid w:val="2FF72950"/>
    <w:rsid w:val="449A1228"/>
    <w:rsid w:val="4F4E4E0F"/>
    <w:rsid w:val="56EF5698"/>
    <w:rsid w:val="7F70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0"/>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1"/>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9"/>
    <w:semiHidden/>
    <w:unhideWhenUsed/>
    <w:qFormat/>
    <w:uiPriority w:val="99"/>
    <w:pPr>
      <w:spacing w:after="120"/>
    </w:pPr>
  </w:style>
  <w:style w:type="paragraph" w:styleId="12">
    <w:name w:val="footer"/>
    <w:basedOn w:val="1"/>
    <w:link w:val="41"/>
    <w:unhideWhenUsed/>
    <w:qFormat/>
    <w:uiPriority w:val="99"/>
    <w:pPr>
      <w:tabs>
        <w:tab w:val="center" w:pos="4153"/>
        <w:tab w:val="right" w:pos="8306"/>
      </w:tabs>
      <w:snapToGrid w:val="0"/>
      <w:jc w:val="left"/>
    </w:pPr>
    <w:rPr>
      <w:sz w:val="18"/>
      <w:szCs w:val="18"/>
    </w:rPr>
  </w:style>
  <w:style w:type="paragraph" w:styleId="13">
    <w:name w:val="header"/>
    <w:basedOn w:val="1"/>
    <w:link w:val="40"/>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6">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9">
    <w:name w:val="标题 1 字符"/>
    <w:basedOn w:val="18"/>
    <w:link w:val="3"/>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4"/>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6"/>
    <w:semiHidden/>
    <w:qFormat/>
    <w:uiPriority w:val="9"/>
    <w:rPr>
      <w:rFonts w:cstheme="majorBidi"/>
      <w:color w:val="104862" w:themeColor="accent1" w:themeShade="BF"/>
      <w:sz w:val="28"/>
      <w:szCs w:val="28"/>
    </w:rPr>
  </w:style>
  <w:style w:type="character" w:customStyle="1" w:styleId="23">
    <w:name w:val="标题 5 字符"/>
    <w:basedOn w:val="18"/>
    <w:link w:val="7"/>
    <w:semiHidden/>
    <w:qFormat/>
    <w:uiPriority w:val="9"/>
    <w:rPr>
      <w:rFonts w:cstheme="majorBidi"/>
      <w:color w:val="104862" w:themeColor="accent1" w:themeShade="BF"/>
      <w:sz w:val="24"/>
      <w:szCs w:val="24"/>
    </w:rPr>
  </w:style>
  <w:style w:type="character" w:customStyle="1" w:styleId="24">
    <w:name w:val="标题 6 字符"/>
    <w:basedOn w:val="18"/>
    <w:link w:val="8"/>
    <w:semiHidden/>
    <w:qFormat/>
    <w:uiPriority w:val="9"/>
    <w:rPr>
      <w:rFonts w:cstheme="majorBidi"/>
      <w:b/>
      <w:bCs/>
      <w:color w:val="104862" w:themeColor="accent1" w:themeShade="BF"/>
    </w:rPr>
  </w:style>
  <w:style w:type="character" w:customStyle="1" w:styleId="25">
    <w:name w:val="标题 7 字符"/>
    <w:basedOn w:val="18"/>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Intense Reference"/>
    <w:basedOn w:val="18"/>
    <w:qFormat/>
    <w:uiPriority w:val="32"/>
    <w:rPr>
      <w:b/>
      <w:bCs/>
      <w:smallCaps/>
      <w:color w:val="104862" w:themeColor="accent1" w:themeShade="BF"/>
      <w:spacing w:val="5"/>
    </w:rPr>
  </w:style>
  <w:style w:type="paragraph" w:customStyle="1" w:styleId="37">
    <w:name w:val="be358f00-9758-446e-aec5-cde8345aeef3"/>
    <w:basedOn w:val="2"/>
    <w:link w:val="38"/>
    <w:qFormat/>
    <w:uiPriority w:val="0"/>
    <w:pPr>
      <w:spacing w:after="0"/>
      <w:ind w:firstLine="440"/>
      <w:jc w:val="left"/>
    </w:pPr>
    <w:rPr>
      <w:rFonts w:ascii="微软雅黑" w:hAnsi="微软雅黑" w:eastAsia="微软雅黑"/>
      <w:color w:val="000000"/>
      <w:sz w:val="22"/>
    </w:rPr>
  </w:style>
  <w:style w:type="character" w:customStyle="1" w:styleId="38">
    <w:name w:val="be358f00-9758-446e-aec5-cde8345aeef3 字符"/>
    <w:basedOn w:val="18"/>
    <w:link w:val="37"/>
    <w:qFormat/>
    <w:uiPriority w:val="0"/>
    <w:rPr>
      <w:rFonts w:ascii="微软雅黑" w:hAnsi="微软雅黑" w:eastAsia="微软雅黑"/>
      <w:color w:val="000000"/>
      <w:sz w:val="22"/>
    </w:rPr>
  </w:style>
  <w:style w:type="character" w:customStyle="1" w:styleId="39">
    <w:name w:val="正文文本 字符"/>
    <w:basedOn w:val="18"/>
    <w:link w:val="2"/>
    <w:semiHidden/>
    <w:qFormat/>
    <w:uiPriority w:val="99"/>
  </w:style>
  <w:style w:type="character" w:customStyle="1" w:styleId="40">
    <w:name w:val="页眉 字符"/>
    <w:basedOn w:val="18"/>
    <w:link w:val="13"/>
    <w:qFormat/>
    <w:uiPriority w:val="99"/>
    <w:rPr>
      <w:sz w:val="18"/>
      <w:szCs w:val="18"/>
    </w:rPr>
  </w:style>
  <w:style w:type="character" w:customStyle="1" w:styleId="41">
    <w:name w:val="页脚 字符"/>
    <w:basedOn w:val="18"/>
    <w:link w:val="12"/>
    <w:qFormat/>
    <w:uiPriority w:val="99"/>
    <w:rPr>
      <w:sz w:val="18"/>
      <w:szCs w:val="18"/>
    </w:rPr>
  </w:style>
  <w:style w:type="paragraph" w:customStyle="1" w:styleId="42">
    <w:name w:val="需求正文"/>
    <w:basedOn w:val="1"/>
    <w:qFormat/>
    <w:uiPriority w:val="0"/>
    <w:pPr>
      <w:ind w:firstLine="420"/>
    </w:pPr>
    <w:rPr>
      <w:rFonts w:ascii="Arial" w:hAnsi="Arial" w:eastAsia="宋体" w:cs="Arial"/>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1319</Words>
  <Characters>1329</Characters>
  <Lines>7</Lines>
  <Paragraphs>2</Paragraphs>
  <TotalTime>8</TotalTime>
  <ScaleCrop>false</ScaleCrop>
  <LinksUpToDate>false</LinksUpToDate>
  <CharactersWithSpaces>1329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2024-03-21T08:34:00Z</dcterms:created>
  <dc:creator>jian mao</dc:creator>
  <cp:lastModifiedBy>fzr</cp:lastModifiedBy>
  <dcterms:modified xsi:type="dcterms:W3CDTF">2025-07-12T13:30:18Z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5153E76D20CD4A39A21C325F6D1BA4A2_13</vt:lpwstr>
  </property>
</Properties>
</file>