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04" w:right="285"/>
        <w:rPr>
          <w:rFonts w:hint="eastAsia"/>
        </w:rPr>
      </w:pPr>
      <w:bookmarkStart w:id="0" w:name="_GoBack"/>
      <w:bookmarkEnd w:id="0"/>
      <w:r>
        <w:rPr>
          <w:sz w:val="32"/>
        </w:rPr>
        <w:t>3.已出口未结清退（免）税业务报告表</w:t>
      </w:r>
    </w:p>
    <w:p>
      <w:pPr>
        <w:spacing w:after="3" w:line="265" w:lineRule="auto"/>
        <w:ind w:left="-5" w:right="10749" w:hanging="10"/>
      </w:pPr>
      <w:r>
        <w:rPr>
          <w:rFonts w:ascii="宋体" w:hAnsi="宋体" w:eastAsia="宋体" w:cs="宋体"/>
        </w:rPr>
        <w:t>统一社会信用代码：纳税人名称：</w:t>
      </w:r>
    </w:p>
    <w:p>
      <w:pPr>
        <w:spacing w:after="3" w:line="265" w:lineRule="auto"/>
        <w:ind w:left="-5" w:hanging="10"/>
      </w:pPr>
      <w:r>
        <w:rPr>
          <w:rFonts w:ascii="宋体" w:hAnsi="宋体" w:eastAsia="宋体" w:cs="宋体"/>
        </w:rPr>
        <w:t>提交变更日期：</w:t>
      </w:r>
    </w:p>
    <w:p>
      <w:pPr>
        <w:spacing w:after="3" w:line="265" w:lineRule="auto"/>
        <w:ind w:left="-5" w:hanging="10"/>
      </w:pPr>
      <w:r>
        <w:rPr>
          <w:rFonts w:ascii="宋体" w:hAnsi="宋体" w:eastAsia="宋体" w:cs="宋体"/>
        </w:rPr>
        <w:t>变更前退（免）税办法：</w:t>
      </w:r>
      <w:r>
        <w:rPr>
          <w:rFonts w:ascii="Wingdings 2" w:hAnsi="Wingdings 2" w:eastAsia="Wingdings 2" w:cs="Wingdings 2"/>
        </w:rPr>
        <w:t>£</w:t>
      </w:r>
      <w:r>
        <w:rPr>
          <w:rFonts w:ascii="宋体" w:hAnsi="宋体" w:eastAsia="宋体" w:cs="宋体"/>
        </w:rPr>
        <w:t>免抵退税</w:t>
      </w:r>
      <w:r>
        <w:rPr>
          <w:rFonts w:ascii="仿宋" w:hAnsi="仿宋" w:eastAsia="仿宋" w:cs="仿宋"/>
        </w:rPr>
        <w:t xml:space="preserve">  </w:t>
      </w:r>
      <w:r>
        <w:rPr>
          <w:rFonts w:ascii="Wingdings 2" w:hAnsi="Wingdings 2" w:eastAsia="Wingdings 2" w:cs="Wingdings 2"/>
        </w:rPr>
        <w:t>£</w:t>
      </w:r>
      <w:r>
        <w:rPr>
          <w:rFonts w:ascii="宋体" w:hAnsi="宋体" w:eastAsia="宋体" w:cs="宋体"/>
        </w:rPr>
        <w:t>免退税 变更后退（免）税办法：</w:t>
      </w:r>
      <w:r>
        <w:rPr>
          <w:rFonts w:ascii="Wingdings 2" w:hAnsi="Wingdings 2" w:eastAsia="Wingdings 2" w:cs="Wingdings 2"/>
        </w:rPr>
        <w:t>£</w:t>
      </w:r>
      <w:r>
        <w:rPr>
          <w:rFonts w:ascii="宋体" w:hAnsi="宋体" w:eastAsia="宋体" w:cs="宋体"/>
        </w:rPr>
        <w:t xml:space="preserve">免抵退税 </w:t>
      </w:r>
      <w:r>
        <w:rPr>
          <w:rFonts w:ascii="仿宋" w:hAnsi="仿宋" w:eastAsia="仿宋" w:cs="仿宋"/>
        </w:rPr>
        <w:t xml:space="preserve">   </w:t>
      </w:r>
      <w:r>
        <w:rPr>
          <w:rFonts w:ascii="Wingdings 2" w:hAnsi="Wingdings 2" w:eastAsia="Wingdings 2" w:cs="Wingdings 2"/>
        </w:rPr>
        <w:t>£</w:t>
      </w:r>
      <w:r>
        <w:rPr>
          <w:rFonts w:ascii="宋体" w:hAnsi="宋体" w:eastAsia="宋体" w:cs="宋体"/>
        </w:rPr>
        <w:t>免退税是否属于退（免）税办法备案有误：</w:t>
      </w:r>
      <w:r>
        <w:rPr>
          <w:rFonts w:ascii="Wingdings 2" w:hAnsi="Wingdings 2" w:eastAsia="Wingdings 2" w:cs="Wingdings 2"/>
        </w:rPr>
        <w:t>£</w:t>
      </w:r>
      <w:r>
        <w:rPr>
          <w:rFonts w:ascii="宋体" w:hAnsi="宋体" w:eastAsia="宋体" w:cs="宋体"/>
        </w:rPr>
        <w:t xml:space="preserve">是 </w:t>
      </w:r>
      <w:r>
        <w:rPr>
          <w:rFonts w:ascii="仿宋" w:hAnsi="仿宋" w:eastAsia="仿宋" w:cs="仿宋"/>
        </w:rPr>
        <w:t xml:space="preserve">  </w:t>
      </w:r>
      <w:r>
        <w:rPr>
          <w:rFonts w:ascii="Wingdings 2" w:hAnsi="Wingdings 2" w:eastAsia="Wingdings 2" w:cs="Wingdings 2"/>
        </w:rPr>
        <w:t>£</w:t>
      </w:r>
      <w:r>
        <w:rPr>
          <w:rFonts w:ascii="宋体" w:hAnsi="宋体" w:eastAsia="宋体" w:cs="宋体"/>
        </w:rPr>
        <w:t>否</w:t>
      </w:r>
    </w:p>
    <w:tbl>
      <w:tblPr>
        <w:tblStyle w:val="5"/>
        <w:tblW w:w="13999" w:type="dxa"/>
        <w:tblInd w:w="-35" w:type="dxa"/>
        <w:tblLayout w:type="autofit"/>
        <w:tblCellMar>
          <w:top w:w="0" w:type="dxa"/>
          <w:left w:w="118" w:type="dxa"/>
          <w:bottom w:w="0" w:type="dxa"/>
          <w:right w:w="83" w:type="dxa"/>
        </w:tblCellMar>
      </w:tblPr>
      <w:tblGrid>
        <w:gridCol w:w="1358"/>
        <w:gridCol w:w="1699"/>
        <w:gridCol w:w="1490"/>
        <w:gridCol w:w="2146"/>
        <w:gridCol w:w="4769"/>
        <w:gridCol w:w="2537"/>
      </w:tblGrid>
      <w:tr>
        <w:tblPrEx>
          <w:tblCellMar>
            <w:top w:w="0" w:type="dxa"/>
            <w:left w:w="118" w:type="dxa"/>
            <w:bottom w:w="0" w:type="dxa"/>
            <w:right w:w="83" w:type="dxa"/>
          </w:tblCellMar>
        </w:tblPrEx>
        <w:trPr>
          <w:trHeight w:val="708" w:hRule="atLeast"/>
        </w:trPr>
        <w:tc>
          <w:tcPr>
            <w:tcW w:w="1358" w:type="dxa"/>
            <w:tcBorders>
              <w:top w:val="single" w:color="000000" w:sz="6" w:space="0"/>
              <w:left w:val="single" w:color="000000" w:sz="6" w:space="0"/>
              <w:bottom w:val="single" w:color="000000" w:sz="6" w:space="0"/>
              <w:right w:val="single" w:color="000000" w:sz="6" w:space="0"/>
            </w:tcBorders>
            <w:vAlign w:val="center"/>
          </w:tcPr>
          <w:p>
            <w:pPr>
              <w:spacing w:after="0"/>
              <w:ind w:right="18"/>
              <w:jc w:val="center"/>
            </w:pPr>
            <w:r>
              <w:rPr>
                <w:rFonts w:ascii="宋体" w:hAnsi="宋体" w:eastAsia="宋体" w:cs="宋体"/>
              </w:rPr>
              <w:t>序号</w:t>
            </w:r>
          </w:p>
        </w:tc>
        <w:tc>
          <w:tcPr>
            <w:tcW w:w="1699"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出口业务凭证种类</w:t>
            </w:r>
          </w:p>
        </w:tc>
        <w:tc>
          <w:tcPr>
            <w:tcW w:w="149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出口业务凭证号码</w:t>
            </w:r>
          </w:p>
        </w:tc>
        <w:tc>
          <w:tcPr>
            <w:tcW w:w="2146"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出口日期或者凭证开具日期</w:t>
            </w:r>
          </w:p>
        </w:tc>
        <w:tc>
          <w:tcPr>
            <w:tcW w:w="4769" w:type="dxa"/>
            <w:tcBorders>
              <w:top w:val="single" w:color="000000" w:sz="6" w:space="0"/>
              <w:left w:val="single" w:color="000000" w:sz="6" w:space="0"/>
              <w:bottom w:val="single" w:color="000000" w:sz="6" w:space="0"/>
              <w:right w:val="single" w:color="000000" w:sz="6" w:space="0"/>
            </w:tcBorders>
            <w:vAlign w:val="center"/>
          </w:tcPr>
          <w:p>
            <w:pPr>
              <w:spacing w:after="0"/>
              <w:ind w:right="11"/>
              <w:jc w:val="center"/>
            </w:pPr>
            <w:r>
              <w:rPr>
                <w:rFonts w:ascii="宋体" w:hAnsi="宋体" w:eastAsia="宋体" w:cs="宋体"/>
              </w:rPr>
              <w:t>无法结清出口退（免）税款情形</w:t>
            </w:r>
          </w:p>
        </w:tc>
        <w:tc>
          <w:tcPr>
            <w:tcW w:w="2537" w:type="dxa"/>
            <w:tcBorders>
              <w:top w:val="single" w:color="000000" w:sz="6" w:space="0"/>
              <w:left w:val="single" w:color="000000" w:sz="6" w:space="0"/>
              <w:bottom w:val="single" w:color="000000" w:sz="6" w:space="0"/>
              <w:right w:val="single" w:color="000000" w:sz="6" w:space="0"/>
            </w:tcBorders>
            <w:vAlign w:val="center"/>
          </w:tcPr>
          <w:p>
            <w:pPr>
              <w:spacing w:after="0"/>
              <w:ind w:left="195"/>
            </w:pPr>
            <w:r>
              <w:rPr>
                <w:rFonts w:ascii="宋体" w:hAnsi="宋体" w:eastAsia="宋体" w:cs="宋体"/>
              </w:rPr>
              <w:t>适用退（免）税办法</w:t>
            </w:r>
          </w:p>
        </w:tc>
      </w:tr>
      <w:tr>
        <w:tblPrEx>
          <w:tblCellMar>
            <w:top w:w="0" w:type="dxa"/>
            <w:left w:w="118" w:type="dxa"/>
            <w:bottom w:w="0" w:type="dxa"/>
            <w:right w:w="83" w:type="dxa"/>
          </w:tblCellMar>
        </w:tblPrEx>
        <w:trPr>
          <w:trHeight w:val="276" w:hRule="atLeast"/>
        </w:trPr>
        <w:tc>
          <w:tcPr>
            <w:tcW w:w="1358" w:type="dxa"/>
            <w:tcBorders>
              <w:top w:val="single" w:color="000000" w:sz="6" w:space="0"/>
              <w:left w:val="single" w:color="000000" w:sz="6" w:space="0"/>
              <w:bottom w:val="single" w:color="000000" w:sz="6" w:space="0"/>
              <w:right w:val="single" w:color="000000" w:sz="6" w:space="0"/>
            </w:tcBorders>
          </w:tcPr>
          <w:p>
            <w:pPr>
              <w:spacing w:after="0"/>
            </w:pPr>
          </w:p>
        </w:tc>
        <w:tc>
          <w:tcPr>
            <w:tcW w:w="1699" w:type="dxa"/>
            <w:tcBorders>
              <w:top w:val="single" w:color="000000" w:sz="6" w:space="0"/>
              <w:left w:val="single" w:color="000000" w:sz="6" w:space="0"/>
              <w:bottom w:val="single" w:color="000000" w:sz="6" w:space="0"/>
              <w:right w:val="single" w:color="000000" w:sz="6" w:space="0"/>
            </w:tcBorders>
          </w:tcPr>
          <w:p>
            <w:pPr>
              <w:spacing w:after="0"/>
            </w:pPr>
          </w:p>
        </w:tc>
        <w:tc>
          <w:tcPr>
            <w:tcW w:w="1490" w:type="dxa"/>
            <w:tcBorders>
              <w:top w:val="single" w:color="000000" w:sz="6" w:space="0"/>
              <w:left w:val="single" w:color="000000" w:sz="6" w:space="0"/>
              <w:bottom w:val="single" w:color="000000" w:sz="6" w:space="0"/>
              <w:right w:val="single" w:color="000000" w:sz="6" w:space="0"/>
            </w:tcBorders>
          </w:tcPr>
          <w:p>
            <w:pPr>
              <w:spacing w:after="0"/>
            </w:pPr>
          </w:p>
        </w:tc>
        <w:tc>
          <w:tcPr>
            <w:tcW w:w="2146" w:type="dxa"/>
            <w:tcBorders>
              <w:top w:val="single" w:color="000000" w:sz="6" w:space="0"/>
              <w:left w:val="single" w:color="000000" w:sz="6" w:space="0"/>
              <w:bottom w:val="single" w:color="000000" w:sz="6" w:space="0"/>
              <w:right w:val="single" w:color="000000" w:sz="6" w:space="0"/>
            </w:tcBorders>
          </w:tcPr>
          <w:p>
            <w:pPr>
              <w:spacing w:after="0"/>
            </w:pPr>
          </w:p>
        </w:tc>
        <w:tc>
          <w:tcPr>
            <w:tcW w:w="4769" w:type="dxa"/>
            <w:tcBorders>
              <w:top w:val="single" w:color="000000" w:sz="6" w:space="0"/>
              <w:left w:val="single" w:color="000000" w:sz="6" w:space="0"/>
              <w:bottom w:val="single" w:color="000000" w:sz="6" w:space="0"/>
              <w:right w:val="single" w:color="000000" w:sz="6" w:space="0"/>
            </w:tcBorders>
          </w:tcPr>
          <w:p>
            <w:pPr>
              <w:spacing w:after="0"/>
            </w:pPr>
          </w:p>
        </w:tc>
        <w:tc>
          <w:tcPr>
            <w:tcW w:w="2537"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118" w:type="dxa"/>
            <w:bottom w:w="0" w:type="dxa"/>
            <w:right w:w="83" w:type="dxa"/>
          </w:tblCellMar>
        </w:tblPrEx>
        <w:trPr>
          <w:trHeight w:val="276" w:hRule="atLeast"/>
        </w:trPr>
        <w:tc>
          <w:tcPr>
            <w:tcW w:w="1358" w:type="dxa"/>
            <w:tcBorders>
              <w:top w:val="single" w:color="000000" w:sz="6" w:space="0"/>
              <w:left w:val="single" w:color="000000" w:sz="6" w:space="0"/>
              <w:bottom w:val="single" w:color="000000" w:sz="6" w:space="0"/>
              <w:right w:val="single" w:color="000000" w:sz="6" w:space="0"/>
            </w:tcBorders>
          </w:tcPr>
          <w:p>
            <w:pPr>
              <w:spacing w:after="0"/>
            </w:pPr>
          </w:p>
        </w:tc>
        <w:tc>
          <w:tcPr>
            <w:tcW w:w="1699" w:type="dxa"/>
            <w:tcBorders>
              <w:top w:val="single" w:color="000000" w:sz="6" w:space="0"/>
              <w:left w:val="single" w:color="000000" w:sz="6" w:space="0"/>
              <w:bottom w:val="single" w:color="000000" w:sz="6" w:space="0"/>
              <w:right w:val="single" w:color="000000" w:sz="6" w:space="0"/>
            </w:tcBorders>
          </w:tcPr>
          <w:p>
            <w:pPr>
              <w:spacing w:after="0"/>
            </w:pPr>
          </w:p>
        </w:tc>
        <w:tc>
          <w:tcPr>
            <w:tcW w:w="1490" w:type="dxa"/>
            <w:tcBorders>
              <w:top w:val="single" w:color="000000" w:sz="6" w:space="0"/>
              <w:left w:val="single" w:color="000000" w:sz="6" w:space="0"/>
              <w:bottom w:val="single" w:color="000000" w:sz="6" w:space="0"/>
              <w:right w:val="single" w:color="000000" w:sz="6" w:space="0"/>
            </w:tcBorders>
          </w:tcPr>
          <w:p>
            <w:pPr>
              <w:spacing w:after="0"/>
            </w:pPr>
          </w:p>
        </w:tc>
        <w:tc>
          <w:tcPr>
            <w:tcW w:w="2146" w:type="dxa"/>
            <w:tcBorders>
              <w:top w:val="single" w:color="000000" w:sz="6" w:space="0"/>
              <w:left w:val="single" w:color="000000" w:sz="6" w:space="0"/>
              <w:bottom w:val="single" w:color="000000" w:sz="6" w:space="0"/>
              <w:right w:val="single" w:color="000000" w:sz="6" w:space="0"/>
            </w:tcBorders>
          </w:tcPr>
          <w:p>
            <w:pPr>
              <w:spacing w:after="0"/>
            </w:pPr>
          </w:p>
        </w:tc>
        <w:tc>
          <w:tcPr>
            <w:tcW w:w="4769" w:type="dxa"/>
            <w:tcBorders>
              <w:top w:val="single" w:color="000000" w:sz="6" w:space="0"/>
              <w:left w:val="single" w:color="000000" w:sz="6" w:space="0"/>
              <w:bottom w:val="single" w:color="000000" w:sz="6" w:space="0"/>
              <w:right w:val="single" w:color="000000" w:sz="6" w:space="0"/>
            </w:tcBorders>
          </w:tcPr>
          <w:p>
            <w:pPr>
              <w:spacing w:after="0"/>
            </w:pPr>
          </w:p>
        </w:tc>
        <w:tc>
          <w:tcPr>
            <w:tcW w:w="2537"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118" w:type="dxa"/>
            <w:bottom w:w="0" w:type="dxa"/>
            <w:right w:w="83" w:type="dxa"/>
          </w:tblCellMar>
        </w:tblPrEx>
        <w:trPr>
          <w:trHeight w:val="276" w:hRule="atLeast"/>
        </w:trPr>
        <w:tc>
          <w:tcPr>
            <w:tcW w:w="1358" w:type="dxa"/>
            <w:tcBorders>
              <w:top w:val="single" w:color="000000" w:sz="6" w:space="0"/>
              <w:left w:val="single" w:color="000000" w:sz="6" w:space="0"/>
              <w:bottom w:val="single" w:color="000000" w:sz="6" w:space="0"/>
              <w:right w:val="single" w:color="000000" w:sz="6" w:space="0"/>
            </w:tcBorders>
          </w:tcPr>
          <w:p>
            <w:pPr>
              <w:spacing w:after="0"/>
            </w:pPr>
          </w:p>
        </w:tc>
        <w:tc>
          <w:tcPr>
            <w:tcW w:w="1699" w:type="dxa"/>
            <w:tcBorders>
              <w:top w:val="single" w:color="000000" w:sz="6" w:space="0"/>
              <w:left w:val="single" w:color="000000" w:sz="6" w:space="0"/>
              <w:bottom w:val="single" w:color="000000" w:sz="6" w:space="0"/>
              <w:right w:val="single" w:color="000000" w:sz="6" w:space="0"/>
            </w:tcBorders>
          </w:tcPr>
          <w:p>
            <w:pPr>
              <w:spacing w:after="0"/>
            </w:pPr>
          </w:p>
        </w:tc>
        <w:tc>
          <w:tcPr>
            <w:tcW w:w="1490" w:type="dxa"/>
            <w:tcBorders>
              <w:top w:val="single" w:color="000000" w:sz="6" w:space="0"/>
              <w:left w:val="single" w:color="000000" w:sz="6" w:space="0"/>
              <w:bottom w:val="single" w:color="000000" w:sz="6" w:space="0"/>
              <w:right w:val="single" w:color="000000" w:sz="6" w:space="0"/>
            </w:tcBorders>
          </w:tcPr>
          <w:p>
            <w:pPr>
              <w:spacing w:after="0"/>
            </w:pPr>
          </w:p>
        </w:tc>
        <w:tc>
          <w:tcPr>
            <w:tcW w:w="2146" w:type="dxa"/>
            <w:tcBorders>
              <w:top w:val="single" w:color="000000" w:sz="6" w:space="0"/>
              <w:left w:val="single" w:color="000000" w:sz="6" w:space="0"/>
              <w:bottom w:val="single" w:color="000000" w:sz="6" w:space="0"/>
              <w:right w:val="single" w:color="000000" w:sz="6" w:space="0"/>
            </w:tcBorders>
          </w:tcPr>
          <w:p>
            <w:pPr>
              <w:spacing w:after="0"/>
            </w:pPr>
          </w:p>
        </w:tc>
        <w:tc>
          <w:tcPr>
            <w:tcW w:w="4769" w:type="dxa"/>
            <w:tcBorders>
              <w:top w:val="single" w:color="000000" w:sz="6" w:space="0"/>
              <w:left w:val="single" w:color="000000" w:sz="6" w:space="0"/>
              <w:bottom w:val="single" w:color="000000" w:sz="6" w:space="0"/>
              <w:right w:val="single" w:color="000000" w:sz="6" w:space="0"/>
            </w:tcBorders>
          </w:tcPr>
          <w:p>
            <w:pPr>
              <w:spacing w:after="0"/>
            </w:pPr>
          </w:p>
        </w:tc>
        <w:tc>
          <w:tcPr>
            <w:tcW w:w="2537" w:type="dxa"/>
            <w:tcBorders>
              <w:top w:val="single" w:color="000000" w:sz="6" w:space="0"/>
              <w:left w:val="single" w:color="000000" w:sz="6" w:space="0"/>
              <w:bottom w:val="single" w:color="000000" w:sz="6" w:space="0"/>
              <w:right w:val="single" w:color="000000" w:sz="6" w:space="0"/>
            </w:tcBorders>
          </w:tcPr>
          <w:p>
            <w:pPr>
              <w:spacing w:after="0"/>
            </w:pPr>
          </w:p>
        </w:tc>
      </w:tr>
    </w:tbl>
    <w:p>
      <w:pPr>
        <w:spacing w:after="3" w:line="265" w:lineRule="auto"/>
        <w:ind w:left="-5" w:hanging="10"/>
      </w:pPr>
      <w:r>
        <w:rPr>
          <w:rFonts w:ascii="宋体" w:hAnsi="宋体" w:eastAsia="宋体" w:cs="宋体"/>
        </w:rPr>
        <w:t>填表说明：</w:t>
      </w:r>
    </w:p>
    <w:p>
      <w:pPr>
        <w:spacing w:after="3" w:line="265" w:lineRule="auto"/>
        <w:ind w:left="-5" w:hanging="10"/>
      </w:pPr>
      <w:r>
        <w:rPr>
          <w:rFonts w:ascii="宋体" w:hAnsi="宋体" w:eastAsia="宋体" w:cs="宋体"/>
        </w:rPr>
        <w:t>1.是否属于退（免）税办法备案有误:纳税人在主管税务机关首次核准退（免）税前发现退（免）税办法备案有误的，可选择“是”，无需填报出口业务凭证信息；其余情形选“否”，需填报相关出口业务凭证信息。</w:t>
      </w:r>
    </w:p>
    <w:p>
      <w:pPr>
        <w:spacing w:after="3" w:line="265" w:lineRule="auto"/>
        <w:ind w:left="-5" w:hanging="10"/>
      </w:pPr>
      <w:r>
        <w:rPr>
          <w:rFonts w:ascii="宋体" w:hAnsi="宋体" w:eastAsia="宋体" w:cs="宋体"/>
        </w:rPr>
        <w:t>2.出口业务凭证种类：纳税人据实填写，具体是：</w:t>
      </w:r>
    </w:p>
    <w:p>
      <w:pPr>
        <w:numPr>
          <w:ilvl w:val="0"/>
          <w:numId w:val="1"/>
        </w:numPr>
        <w:spacing w:after="3" w:line="265" w:lineRule="auto"/>
        <w:ind w:hanging="535"/>
      </w:pPr>
      <w:r>
        <w:rPr>
          <w:rFonts w:ascii="宋体" w:hAnsi="宋体" w:eastAsia="宋体" w:cs="宋体"/>
        </w:rPr>
        <w:t>出口货物报关单（保税区内的纳税人可报送出境货物备案清单）；</w:t>
      </w:r>
    </w:p>
    <w:p>
      <w:pPr>
        <w:numPr>
          <w:ilvl w:val="0"/>
          <w:numId w:val="1"/>
        </w:numPr>
        <w:spacing w:after="3" w:line="265" w:lineRule="auto"/>
        <w:ind w:hanging="535"/>
      </w:pPr>
      <w:r>
        <w:rPr>
          <w:rFonts w:ascii="宋体" w:hAnsi="宋体" w:eastAsia="宋体" w:cs="宋体"/>
        </w:rPr>
        <w:t>代理出口货物证明；</w:t>
      </w:r>
    </w:p>
    <w:p>
      <w:pPr>
        <w:numPr>
          <w:ilvl w:val="0"/>
          <w:numId w:val="1"/>
        </w:numPr>
        <w:spacing w:after="3" w:line="265" w:lineRule="auto"/>
        <w:ind w:hanging="535"/>
      </w:pPr>
      <w:r>
        <w:rPr>
          <w:rFonts w:ascii="宋体" w:hAnsi="宋体" w:eastAsia="宋体" w:cs="宋体"/>
        </w:rPr>
        <w:t>出口发票或者普通发票；</w:t>
      </w:r>
    </w:p>
    <w:p>
      <w:pPr>
        <w:numPr>
          <w:ilvl w:val="0"/>
          <w:numId w:val="1"/>
        </w:numPr>
        <w:spacing w:after="3" w:line="265" w:lineRule="auto"/>
        <w:ind w:hanging="535"/>
      </w:pPr>
      <w:r>
        <w:rPr>
          <w:rFonts w:ascii="宋体" w:hAnsi="宋体" w:eastAsia="宋体" w:cs="宋体"/>
        </w:rPr>
        <w:t>其他凭证。</w:t>
      </w:r>
    </w:p>
    <w:p>
      <w:pPr>
        <w:spacing w:after="3" w:line="265" w:lineRule="auto"/>
        <w:ind w:left="-5" w:hanging="10"/>
      </w:pPr>
      <w:r>
        <w:rPr>
          <w:rFonts w:ascii="宋体" w:hAnsi="宋体" w:eastAsia="宋体" w:cs="宋体"/>
        </w:rPr>
        <w:t>3.出口业务凭证号码，根据出口凭证种类分别填写：</w:t>
      </w:r>
    </w:p>
    <w:p>
      <w:pPr>
        <w:numPr>
          <w:ilvl w:val="0"/>
          <w:numId w:val="2"/>
        </w:numPr>
        <w:spacing w:after="3" w:line="265" w:lineRule="auto"/>
        <w:ind w:hanging="535"/>
      </w:pPr>
      <w:r>
        <w:rPr>
          <w:rFonts w:ascii="宋体" w:hAnsi="宋体" w:eastAsia="宋体" w:cs="宋体"/>
        </w:rPr>
        <w:t>出口货物报关单：按出口货物报关单上的海关编号+0+项号填写，共21位；保税区内的纳税人提供货物离境时海关出具的出境货物备案清单：按单证号码据实填写；</w:t>
      </w:r>
    </w:p>
    <w:p>
      <w:pPr>
        <w:numPr>
          <w:ilvl w:val="0"/>
          <w:numId w:val="2"/>
        </w:numPr>
        <w:spacing w:after="3" w:line="265" w:lineRule="auto"/>
        <w:ind w:hanging="535"/>
      </w:pPr>
      <w:r>
        <w:rPr>
          <w:rFonts w:ascii="宋体" w:hAnsi="宋体" w:eastAsia="宋体" w:cs="宋体"/>
        </w:rPr>
        <w:t>代理出口货物证明：按《代理出口货物证明》编号（18位）+两位项号（01、02…）填写，项号按《代理出口货物证明》所列顺序编写；</w:t>
      </w:r>
    </w:p>
    <w:p>
      <w:pPr>
        <w:numPr>
          <w:ilvl w:val="0"/>
          <w:numId w:val="2"/>
        </w:numPr>
        <w:spacing w:after="3" w:line="265" w:lineRule="auto"/>
        <w:ind w:hanging="535"/>
      </w:pPr>
      <w:r>
        <w:rPr>
          <w:rFonts w:ascii="宋体" w:hAnsi="宋体" w:eastAsia="宋体" w:cs="宋体"/>
        </w:rPr>
        <w:t>出口发票或者普通发票：按出口发票或者普通发票号码填写；</w:t>
      </w:r>
    </w:p>
    <w:p>
      <w:pPr>
        <w:numPr>
          <w:ilvl w:val="0"/>
          <w:numId w:val="2"/>
        </w:numPr>
        <w:spacing w:after="3" w:line="265" w:lineRule="auto"/>
        <w:ind w:hanging="535"/>
      </w:pPr>
      <w:r>
        <w:rPr>
          <w:rFonts w:ascii="宋体" w:hAnsi="宋体" w:eastAsia="宋体" w:cs="宋体"/>
        </w:rPr>
        <w:t>其他凭证：按实际凭证的号码填写。</w:t>
      </w:r>
    </w:p>
    <w:p>
      <w:pPr>
        <w:spacing w:after="3" w:line="265" w:lineRule="auto"/>
        <w:ind w:left="-5" w:hanging="10"/>
      </w:pPr>
      <w:r>
        <w:rPr>
          <w:rFonts w:ascii="宋体" w:hAnsi="宋体" w:eastAsia="宋体" w:cs="宋体"/>
        </w:rPr>
        <w:t>4.出口日期或者凭证开具日期，根据出口凭证种类分别填写：</w:t>
      </w:r>
    </w:p>
    <w:p>
      <w:pPr>
        <w:numPr>
          <w:ilvl w:val="0"/>
          <w:numId w:val="3"/>
        </w:numPr>
        <w:spacing w:after="3" w:line="265" w:lineRule="auto"/>
        <w:ind w:hanging="535"/>
      </w:pPr>
      <w:r>
        <w:rPr>
          <w:rFonts w:ascii="宋体" w:hAnsi="宋体" w:eastAsia="宋体" w:cs="宋体"/>
        </w:rPr>
        <w:t>出口货物报关单：按出口货物报关单上列明的出口日期填写（保税区及经保税区出口的按出境货物备案清单上注明的出境日期填写）；</w:t>
      </w:r>
    </w:p>
    <w:p>
      <w:pPr>
        <w:numPr>
          <w:ilvl w:val="0"/>
          <w:numId w:val="3"/>
        </w:numPr>
        <w:spacing w:after="3" w:line="265" w:lineRule="auto"/>
        <w:ind w:hanging="535"/>
      </w:pPr>
      <w:r>
        <w:rPr>
          <w:rFonts w:ascii="宋体" w:hAnsi="宋体" w:eastAsia="宋体" w:cs="宋体"/>
        </w:rPr>
        <w:t>代理出口货物证明：按代理出口货物证明上列明的出口日期填写；</w:t>
      </w:r>
    </w:p>
    <w:p>
      <w:pPr>
        <w:numPr>
          <w:ilvl w:val="0"/>
          <w:numId w:val="3"/>
        </w:numPr>
        <w:spacing w:after="3" w:line="265" w:lineRule="auto"/>
        <w:ind w:hanging="535"/>
      </w:pPr>
      <w:r>
        <w:rPr>
          <w:rFonts w:ascii="宋体" w:hAnsi="宋体" w:eastAsia="宋体" w:cs="宋体"/>
        </w:rPr>
        <w:t>出口发票或者普通发票：按发票的开具日期填写；</w:t>
      </w:r>
    </w:p>
    <w:p>
      <w:pPr>
        <w:numPr>
          <w:ilvl w:val="0"/>
          <w:numId w:val="3"/>
        </w:numPr>
        <w:spacing w:after="3" w:line="265" w:lineRule="auto"/>
        <w:ind w:hanging="535"/>
      </w:pPr>
      <w:r>
        <w:rPr>
          <w:rFonts w:ascii="宋体" w:hAnsi="宋体" w:eastAsia="宋体" w:cs="宋体"/>
        </w:rPr>
        <w:t>其他凭证：按实际凭证的开具日期填写。</w:t>
      </w:r>
    </w:p>
    <w:p>
      <w:pPr>
        <w:pStyle w:val="2"/>
        <w:spacing w:after="3" w:line="265" w:lineRule="auto"/>
        <w:ind w:left="-5"/>
        <w:jc w:val="left"/>
        <w:rPr>
          <w:rFonts w:hint="eastAsia"/>
        </w:rPr>
      </w:pPr>
      <w:r>
        <w:rPr>
          <w:rFonts w:ascii="宋体" w:hAnsi="宋体" w:eastAsia="宋体" w:cs="宋体"/>
          <w:sz w:val="22"/>
        </w:rPr>
        <w:t>5.无法结清出口退（免）税款情形：据实填写无法结清出口退（免）税款的具体原因。</w:t>
      </w:r>
    </w:p>
    <w:p>
      <w:pPr>
        <w:spacing w:after="944" w:line="265" w:lineRule="auto"/>
        <w:ind w:left="-5" w:hanging="10"/>
      </w:pPr>
      <w:r>
        <w:rPr>
          <w:rFonts w:ascii="宋体" w:hAnsi="宋体" w:eastAsia="宋体" w:cs="宋体"/>
        </w:rPr>
        <w:t>6.适用退（免）税办法：据实填写凭证适用的退（免）税办法。</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D289F"/>
    <w:multiLevelType w:val="multilevel"/>
    <w:tmpl w:val="00FD289F"/>
    <w:lvl w:ilvl="0" w:tentative="0">
      <w:start w:val="1"/>
      <w:numFmt w:val="decimal"/>
      <w:lvlText w:val="（%1）"/>
      <w:lvlJc w:val="left"/>
      <w:pPr>
        <w:ind w:left="535"/>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1">
    <w:nsid w:val="0AAC1208"/>
    <w:multiLevelType w:val="multilevel"/>
    <w:tmpl w:val="0AAC1208"/>
    <w:lvl w:ilvl="0" w:tentative="0">
      <w:start w:val="1"/>
      <w:numFmt w:val="decimal"/>
      <w:lvlText w:val="（%1）"/>
      <w:lvlJc w:val="left"/>
      <w:pPr>
        <w:ind w:left="535"/>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宋体" w:hAnsi="宋体" w:eastAsia="宋体" w:cs="宋体"/>
        <w:b w:val="0"/>
        <w:i w:val="0"/>
        <w:strike w:val="0"/>
        <w:dstrike w:val="0"/>
        <w:color w:val="000000"/>
        <w:sz w:val="22"/>
        <w:szCs w:val="22"/>
        <w:u w:val="none" w:color="000000"/>
        <w:shd w:val="clear" w:color="auto" w:fill="auto"/>
        <w:vertAlign w:val="baseline"/>
      </w:rPr>
    </w:lvl>
  </w:abstractNum>
  <w:abstractNum w:abstractNumId="2">
    <w:nsid w:val="2DAC61D0"/>
    <w:multiLevelType w:val="multilevel"/>
    <w:tmpl w:val="2DAC61D0"/>
    <w:lvl w:ilvl="0" w:tentative="0">
      <w:start w:val="1"/>
      <w:numFmt w:val="decimal"/>
      <w:lvlText w:val="（%1）"/>
      <w:lvlJc w:val="left"/>
      <w:pPr>
        <w:ind w:left="535"/>
      </w:pPr>
      <w:rPr>
        <w:rFonts w:ascii="宋体" w:hAnsi="宋体" w:eastAsia="宋体" w:cs="宋体"/>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宋体" w:hAnsi="宋体" w:eastAsia="宋体" w:cs="宋体"/>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宋体" w:hAnsi="宋体" w:eastAsia="宋体" w:cs="宋体"/>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宋体" w:hAnsi="宋体" w:eastAsia="宋体" w:cs="宋体"/>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宋体" w:hAnsi="宋体" w:eastAsia="宋体" w:cs="宋体"/>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宋体" w:hAnsi="宋体" w:eastAsia="宋体" w:cs="宋体"/>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宋体" w:hAnsi="宋体" w:eastAsia="宋体" w:cs="宋体"/>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宋体" w:hAnsi="宋体" w:eastAsia="宋体" w:cs="宋体"/>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宋体" w:hAnsi="宋体" w:eastAsia="宋体" w:cs="宋体"/>
        <w:b w:val="0"/>
        <w:i w:val="0"/>
        <w:strike w:val="0"/>
        <w:dstrike w:val="0"/>
        <w:color w:val="000000"/>
        <w:sz w:val="22"/>
        <w:szCs w:val="22"/>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D69AB"/>
    <w:rsid w:val="35AA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2026-02-11T03:15:00Z</dcterms:created>
  <dc:creator>fzr</dc:creator>
  <cp:lastModifiedBy>fzr</cp:lastModifiedBy>
  <dcterms:modified xsi:type="dcterms:W3CDTF">2026-02-11T08:18:05Z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