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right="2"/>
        <w:jc w:val="center"/>
        <w:outlineLvl w:val="0"/>
      </w:pPr>
      <w:r>
        <w:rPr>
          <w:rFonts w:ascii="黑体" w:hAnsi="黑体" w:eastAsia="黑体" w:cs="黑体"/>
          <w:sz w:val="27"/>
        </w:rPr>
        <w:t>5.免抵退税申报汇总表</w:t>
      </w:r>
    </w:p>
    <w:p>
      <w:pPr>
        <w:spacing w:after="29"/>
        <w:ind w:left="-5" w:right="5460" w:hanging="10"/>
      </w:pPr>
      <w:r>
        <w:rPr>
          <w:rFonts w:ascii="宋体" w:hAnsi="宋体" w:eastAsia="宋体" w:cs="宋体"/>
          <w:sz w:val="18"/>
        </w:rPr>
        <w:t>纳税人识别号（统一社会信用代码）：纳税人名称：</w:t>
      </w:r>
    </w:p>
    <w:p>
      <w:pPr>
        <w:tabs>
          <w:tab w:val="right" w:pos="9655"/>
        </w:tabs>
        <w:spacing w:after="1"/>
        <w:ind w:left="-15"/>
      </w:pPr>
      <w:r>
        <w:rPr>
          <w:rFonts w:ascii="宋体" w:hAnsi="宋体" w:eastAsia="宋体" w:cs="宋体"/>
          <w:sz w:val="18"/>
        </w:rPr>
        <w:t>所属期：      年     月</w:t>
      </w:r>
      <w:r>
        <w:rPr>
          <w:rFonts w:ascii="宋体" w:hAnsi="宋体" w:eastAsia="宋体" w:cs="宋体"/>
          <w:sz w:val="18"/>
        </w:rPr>
        <w:tab/>
      </w:r>
      <w:r>
        <w:rPr>
          <w:rFonts w:ascii="宋体" w:hAnsi="宋体" w:eastAsia="宋体" w:cs="宋体"/>
          <w:sz w:val="18"/>
        </w:rPr>
        <w:t>金额单位：元（列至角分）</w:t>
      </w:r>
    </w:p>
    <w:tbl>
      <w:tblPr>
        <w:tblStyle w:val="4"/>
        <w:tblW w:w="9703" w:type="dxa"/>
        <w:tblInd w:w="-31" w:type="dxa"/>
        <w:tblLayout w:type="autofit"/>
        <w:tblCellMar>
          <w:top w:w="48" w:type="dxa"/>
          <w:left w:w="29" w:type="dxa"/>
          <w:bottom w:w="24" w:type="dxa"/>
          <w:right w:w="19" w:type="dxa"/>
        </w:tblCellMar>
      </w:tblPr>
      <w:tblGrid>
        <w:gridCol w:w="418"/>
        <w:gridCol w:w="3700"/>
        <w:gridCol w:w="1306"/>
        <w:gridCol w:w="1421"/>
        <w:gridCol w:w="1284"/>
        <w:gridCol w:w="1574"/>
      </w:tblGrid>
      <w:tr>
        <w:trPr>
          <w:trHeight w:val="504" w:hRule="atLeast"/>
        </w:trPr>
        <w:tc>
          <w:tcPr>
            <w:tcW w:w="4118"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after="0"/>
              <w:ind w:left="1"/>
              <w:jc w:val="center"/>
            </w:pPr>
            <w:r>
              <w:rPr>
                <w:rFonts w:ascii="宋体" w:hAnsi="宋体" w:eastAsia="宋体" w:cs="宋体"/>
                <w:sz w:val="18"/>
              </w:rPr>
              <w:t>项目</w:t>
            </w:r>
          </w:p>
        </w:tc>
        <w:tc>
          <w:tcPr>
            <w:tcW w:w="1306"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栏次</w:t>
            </w:r>
          </w:p>
        </w:tc>
        <w:tc>
          <w:tcPr>
            <w:tcW w:w="1421" w:type="dxa"/>
            <w:tcBorders>
              <w:top w:val="single" w:color="000000" w:sz="6" w:space="0"/>
              <w:left w:val="single" w:color="000000" w:sz="6" w:space="0"/>
              <w:bottom w:val="single" w:color="000000" w:sz="6" w:space="0"/>
              <w:right w:val="single" w:color="000000" w:sz="6" w:space="0"/>
            </w:tcBorders>
            <w:vAlign w:val="center"/>
          </w:tcPr>
          <w:p>
            <w:pPr>
              <w:spacing w:after="0"/>
              <w:ind w:left="1"/>
              <w:jc w:val="center"/>
            </w:pPr>
            <w:r>
              <w:rPr>
                <w:rFonts w:ascii="宋体" w:hAnsi="宋体" w:eastAsia="宋体" w:cs="宋体"/>
                <w:sz w:val="18"/>
              </w:rPr>
              <w:t>当期</w:t>
            </w:r>
          </w:p>
        </w:tc>
        <w:tc>
          <w:tcPr>
            <w:tcW w:w="1284" w:type="dxa"/>
            <w:tcBorders>
              <w:top w:val="single" w:color="000000" w:sz="6" w:space="0"/>
              <w:left w:val="single" w:color="000000" w:sz="6" w:space="0"/>
              <w:bottom w:val="single" w:color="000000" w:sz="6" w:space="0"/>
              <w:right w:val="single" w:color="000000" w:sz="6" w:space="0"/>
            </w:tcBorders>
            <w:vAlign w:val="center"/>
          </w:tcPr>
          <w:p>
            <w:pPr>
              <w:spacing w:after="0"/>
              <w:ind w:left="252"/>
            </w:pPr>
            <w:r>
              <w:rPr>
                <w:rFonts w:ascii="宋体" w:hAnsi="宋体" w:eastAsia="宋体" w:cs="宋体"/>
                <w:sz w:val="18"/>
              </w:rPr>
              <w:t>本年累计</w:t>
            </w:r>
          </w:p>
        </w:tc>
        <w:tc>
          <w:tcPr>
            <w:tcW w:w="1574" w:type="dxa"/>
            <w:tcBorders>
              <w:top w:val="single" w:color="000000" w:sz="6" w:space="0"/>
              <w:left w:val="single" w:color="000000" w:sz="6" w:space="0"/>
              <w:bottom w:val="single" w:color="000000" w:sz="6" w:space="0"/>
              <w:right w:val="single" w:color="000000" w:sz="6" w:space="0"/>
            </w:tcBorders>
          </w:tcPr>
          <w:p>
            <w:pPr>
              <w:spacing w:after="0"/>
              <w:jc w:val="center"/>
            </w:pPr>
            <w:r>
              <w:rPr>
                <w:rFonts w:ascii="宋体" w:hAnsi="宋体" w:eastAsia="宋体" w:cs="宋体"/>
                <w:sz w:val="18"/>
              </w:rPr>
              <w:t>与增值税纳税申报表差额</w:t>
            </w:r>
          </w:p>
        </w:tc>
      </w:tr>
      <w:tr>
        <w:trPr>
          <w:trHeight w:val="295" w:hRule="atLeast"/>
        </w:trPr>
        <w:tc>
          <w:tcPr>
            <w:tcW w:w="0" w:type="auto"/>
            <w:gridSpan w:val="2"/>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1421" w:type="dxa"/>
            <w:tcBorders>
              <w:top w:val="single" w:color="000000" w:sz="6" w:space="0"/>
              <w:left w:val="single" w:color="000000" w:sz="6" w:space="0"/>
              <w:bottom w:val="single" w:color="000000" w:sz="6" w:space="0"/>
              <w:right w:val="single" w:color="000000" w:sz="6" w:space="0"/>
            </w:tcBorders>
          </w:tcPr>
          <w:p>
            <w:pPr>
              <w:spacing w:after="0"/>
              <w:ind w:left="5"/>
              <w:jc w:val="center"/>
            </w:pPr>
            <w:r>
              <w:rPr>
                <w:rFonts w:ascii="Times New Roman" w:hAnsi="Times New Roman" w:eastAsia="Times New Roman" w:cs="Times New Roman"/>
                <w:b/>
                <w:sz w:val="18"/>
              </w:rPr>
              <w:t>(a)</w:t>
            </w:r>
          </w:p>
        </w:tc>
        <w:tc>
          <w:tcPr>
            <w:tcW w:w="1284"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Times New Roman" w:hAnsi="Times New Roman" w:eastAsia="Times New Roman" w:cs="Times New Roman"/>
                <w:b/>
                <w:sz w:val="18"/>
              </w:rPr>
              <w:t>(b)</w:t>
            </w:r>
          </w:p>
        </w:tc>
        <w:tc>
          <w:tcPr>
            <w:tcW w:w="1574" w:type="dxa"/>
            <w:tcBorders>
              <w:top w:val="single" w:color="000000" w:sz="6" w:space="0"/>
              <w:left w:val="single" w:color="000000" w:sz="6" w:space="0"/>
              <w:bottom w:val="single" w:color="000000" w:sz="6" w:space="0"/>
              <w:right w:val="single" w:color="000000" w:sz="6" w:space="0"/>
            </w:tcBorders>
          </w:tcPr>
          <w:p>
            <w:pPr>
              <w:spacing w:after="0"/>
              <w:ind w:right="1"/>
              <w:jc w:val="center"/>
            </w:pPr>
            <w:r>
              <w:rPr>
                <w:rFonts w:ascii="Times New Roman" w:hAnsi="Times New Roman" w:eastAsia="Times New Roman" w:cs="Times New Roman"/>
                <w:b/>
                <w:sz w:val="18"/>
              </w:rPr>
              <w:t>(c)</w:t>
            </w:r>
          </w:p>
        </w:tc>
      </w:tr>
      <w:tr>
        <w:tblPrEx>
          <w:tblCellMar>
            <w:top w:w="48" w:type="dxa"/>
            <w:left w:w="29" w:type="dxa"/>
            <w:bottom w:w="24" w:type="dxa"/>
            <w:right w:w="19" w:type="dxa"/>
          </w:tblCellMar>
        </w:tblPrEx>
        <w:trPr>
          <w:trHeight w:val="295" w:hRule="atLeast"/>
        </w:trPr>
        <w:tc>
          <w:tcPr>
            <w:tcW w:w="418"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19"/>
              <w:jc w:val="center"/>
            </w:pPr>
            <w:r>
              <w:rPr>
                <w:rFonts w:ascii="宋体" w:hAnsi="宋体" w:eastAsia="宋体" w:cs="宋体"/>
                <w:sz w:val="18"/>
              </w:rPr>
              <w:t>出口销售额</w:t>
            </w: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免抵退税出口销售额(美元)</w:t>
            </w:r>
          </w:p>
        </w:tc>
        <w:tc>
          <w:tcPr>
            <w:tcW w:w="1306" w:type="dxa"/>
            <w:tcBorders>
              <w:top w:val="single" w:color="000000" w:sz="6" w:space="0"/>
              <w:left w:val="single" w:color="000000" w:sz="6" w:space="0"/>
              <w:bottom w:val="single" w:color="000000" w:sz="6" w:space="0"/>
              <w:right w:val="single" w:color="000000" w:sz="6" w:space="0"/>
            </w:tcBorders>
          </w:tcPr>
          <w:p>
            <w:pPr>
              <w:spacing w:after="0"/>
              <w:ind w:left="6"/>
              <w:jc w:val="center"/>
            </w:pPr>
            <w:r>
              <w:rPr>
                <w:rFonts w:ascii="Times New Roman" w:hAnsi="Times New Roman" w:eastAsia="Times New Roman" w:cs="Times New Roman"/>
                <w:sz w:val="18"/>
              </w:rPr>
              <w:t>1=2+3</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宋体" w:hAnsi="宋体" w:eastAsia="宋体" w:cs="宋体"/>
                <w:sz w:val="18"/>
              </w:rPr>
              <w:t>—</w:t>
            </w:r>
          </w:p>
        </w:tc>
      </w:tr>
      <w:tr>
        <w:trPr>
          <w:trHeight w:val="475" w:hRule="atLeast"/>
        </w:trPr>
        <w:tc>
          <w:tcPr>
            <w:tcW w:w="0" w:type="auto"/>
            <w:vMerge w:val="continue"/>
            <w:tcBorders>
              <w:top w:val="nil"/>
              <w:left w:val="single" w:color="000000" w:sz="6" w:space="0"/>
              <w:bottom w:val="nil"/>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vAlign w:val="center"/>
          </w:tcPr>
          <w:p>
            <w:pPr>
              <w:spacing w:after="0"/>
              <w:jc w:val="both"/>
            </w:pPr>
            <w:r>
              <w:rPr>
                <w:rFonts w:ascii="宋体" w:hAnsi="宋体" w:eastAsia="宋体" w:cs="宋体"/>
                <w:sz w:val="18"/>
              </w:rPr>
              <w:t>其中：出口货物及修理修配服务销售额(美元)</w:t>
            </w:r>
          </w:p>
        </w:tc>
        <w:tc>
          <w:tcPr>
            <w:tcW w:w="1306" w:type="dxa"/>
            <w:tcBorders>
              <w:top w:val="single" w:color="000000" w:sz="6" w:space="0"/>
              <w:left w:val="single" w:color="000000" w:sz="6" w:space="0"/>
              <w:bottom w:val="single" w:color="000000" w:sz="6" w:space="0"/>
              <w:right w:val="single" w:color="000000" w:sz="6" w:space="0"/>
            </w:tcBorders>
            <w:vAlign w:val="center"/>
          </w:tcPr>
          <w:p>
            <w:pPr>
              <w:spacing w:after="0"/>
              <w:ind w:left="5"/>
              <w:jc w:val="center"/>
            </w:pPr>
            <w:r>
              <w:rPr>
                <w:rFonts w:ascii="Times New Roman" w:hAnsi="Times New Roman" w:eastAsia="Times New Roman" w:cs="Times New Roman"/>
                <w:sz w:val="18"/>
              </w:rPr>
              <w:t>2</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vAlign w:val="center"/>
          </w:tcPr>
          <w:p>
            <w:pPr>
              <w:spacing w:after="0"/>
              <w:ind w:left="4"/>
              <w:jc w:val="center"/>
            </w:pPr>
            <w:r>
              <w:rPr>
                <w:rFonts w:ascii="宋体" w:hAnsi="宋体" w:eastAsia="宋体" w:cs="宋体"/>
                <w:sz w:val="18"/>
              </w:rPr>
              <w:t>—</w:t>
            </w:r>
          </w:p>
        </w:tc>
      </w:tr>
      <w:tr>
        <w:tblPrEx>
          <w:tblCellMar>
            <w:top w:w="48" w:type="dxa"/>
            <w:left w:w="29" w:type="dxa"/>
            <w:bottom w:w="24" w:type="dxa"/>
            <w:right w:w="19" w:type="dxa"/>
          </w:tblCellMar>
        </w:tblPrEx>
        <w:trPr>
          <w:trHeight w:val="295" w:hRule="atLeast"/>
        </w:trPr>
        <w:tc>
          <w:tcPr>
            <w:tcW w:w="0" w:type="auto"/>
            <w:vMerge w:val="continue"/>
            <w:tcBorders>
              <w:top w:val="nil"/>
              <w:left w:val="single" w:color="000000" w:sz="6" w:space="0"/>
              <w:bottom w:val="nil"/>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tcPr>
          <w:p>
            <w:pPr>
              <w:spacing w:after="0"/>
              <w:ind w:left="48"/>
              <w:jc w:val="both"/>
            </w:pPr>
            <w:r>
              <w:rPr>
                <w:rFonts w:ascii="宋体" w:hAnsi="宋体" w:eastAsia="宋体" w:cs="宋体"/>
                <w:sz w:val="18"/>
              </w:rPr>
              <w:t xml:space="preserve">     跨境销售服务及无形资产销售额(美元)</w:t>
            </w:r>
          </w:p>
        </w:tc>
        <w:tc>
          <w:tcPr>
            <w:tcW w:w="1306" w:type="dxa"/>
            <w:tcBorders>
              <w:top w:val="single" w:color="000000" w:sz="6" w:space="0"/>
              <w:left w:val="single" w:color="000000" w:sz="6" w:space="0"/>
              <w:bottom w:val="single" w:color="000000" w:sz="6" w:space="0"/>
              <w:right w:val="single" w:color="000000" w:sz="6" w:space="0"/>
            </w:tcBorders>
          </w:tcPr>
          <w:p>
            <w:pPr>
              <w:spacing w:after="0"/>
              <w:ind w:left="5"/>
              <w:jc w:val="center"/>
            </w:pPr>
            <w:r>
              <w:rPr>
                <w:rFonts w:ascii="Times New Roman" w:hAnsi="Times New Roman" w:eastAsia="Times New Roman" w:cs="Times New Roman"/>
                <w:sz w:val="18"/>
              </w:rPr>
              <w:t>3</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宋体" w:hAnsi="宋体" w:eastAsia="宋体" w:cs="宋体"/>
                <w:sz w:val="18"/>
              </w:rPr>
              <w:t>—</w:t>
            </w:r>
          </w:p>
        </w:tc>
      </w:tr>
      <w:tr>
        <w:trPr>
          <w:trHeight w:val="295" w:hRule="atLeast"/>
        </w:trPr>
        <w:tc>
          <w:tcPr>
            <w:tcW w:w="0" w:type="auto"/>
            <w:vMerge w:val="continue"/>
            <w:tcBorders>
              <w:top w:val="nil"/>
              <w:left w:val="single" w:color="000000" w:sz="6" w:space="0"/>
              <w:bottom w:val="single" w:color="000000" w:sz="6" w:space="0"/>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免抵退税出口销售额（人民币）</w:t>
            </w:r>
          </w:p>
        </w:tc>
        <w:tc>
          <w:tcPr>
            <w:tcW w:w="1306" w:type="dxa"/>
            <w:tcBorders>
              <w:top w:val="single" w:color="000000" w:sz="6" w:space="0"/>
              <w:left w:val="single" w:color="000000" w:sz="6" w:space="0"/>
              <w:bottom w:val="single" w:color="000000" w:sz="6" w:space="0"/>
              <w:right w:val="single" w:color="000000" w:sz="6" w:space="0"/>
            </w:tcBorders>
          </w:tcPr>
          <w:p>
            <w:pPr>
              <w:spacing w:after="0"/>
              <w:ind w:left="5"/>
              <w:jc w:val="center"/>
            </w:pPr>
            <w:r>
              <w:rPr>
                <w:rFonts w:ascii="Times New Roman" w:hAnsi="Times New Roman" w:eastAsia="Times New Roman" w:cs="Times New Roman"/>
                <w:sz w:val="18"/>
              </w:rPr>
              <w:t>4</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宋体" w:hAnsi="宋体" w:eastAsia="宋体" w:cs="宋体"/>
                <w:sz w:val="18"/>
              </w:rPr>
              <w:t>—</w:t>
            </w:r>
          </w:p>
        </w:tc>
      </w:tr>
      <w:tr>
        <w:trPr>
          <w:trHeight w:val="398" w:hRule="atLeast"/>
        </w:trPr>
        <w:tc>
          <w:tcPr>
            <w:tcW w:w="418" w:type="dxa"/>
            <w:vMerge w:val="restart"/>
            <w:tcBorders>
              <w:top w:val="single" w:color="000000" w:sz="6" w:space="0"/>
              <w:left w:val="single" w:color="000000" w:sz="6" w:space="0"/>
              <w:bottom w:val="single" w:color="000000" w:sz="6" w:space="0"/>
              <w:right w:val="single" w:color="000000" w:sz="6" w:space="0"/>
            </w:tcBorders>
          </w:tcPr>
          <w:p>
            <w:pPr>
              <w:spacing w:after="0"/>
              <w:ind w:left="19"/>
              <w:jc w:val="center"/>
            </w:pPr>
            <w:r>
              <w:rPr>
                <w:rFonts w:ascii="宋体" w:hAnsi="宋体" w:eastAsia="宋体" w:cs="宋体"/>
                <w:sz w:val="18"/>
              </w:rPr>
              <w:t>不得免征和抵扣税额</w:t>
            </w: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免抵退税不得免征和抵扣税额</w:t>
            </w:r>
          </w:p>
        </w:tc>
        <w:tc>
          <w:tcPr>
            <w:tcW w:w="1306" w:type="dxa"/>
            <w:tcBorders>
              <w:top w:val="single" w:color="000000" w:sz="6" w:space="0"/>
              <w:left w:val="single" w:color="000000" w:sz="6" w:space="0"/>
              <w:bottom w:val="single" w:color="000000" w:sz="6" w:space="0"/>
              <w:right w:val="single" w:color="000000" w:sz="6" w:space="0"/>
            </w:tcBorders>
          </w:tcPr>
          <w:p>
            <w:pPr>
              <w:spacing w:after="0"/>
              <w:ind w:left="6"/>
              <w:jc w:val="center"/>
            </w:pPr>
            <w:r>
              <w:rPr>
                <w:rFonts w:ascii="Times New Roman" w:hAnsi="Times New Roman" w:eastAsia="Times New Roman" w:cs="Times New Roman"/>
                <w:sz w:val="18"/>
              </w:rPr>
              <w:t>5=6+7</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宋体" w:hAnsi="宋体" w:eastAsia="宋体" w:cs="宋体"/>
                <w:sz w:val="18"/>
              </w:rPr>
              <w:t>—</w:t>
            </w:r>
          </w:p>
        </w:tc>
      </w:tr>
      <w:tr>
        <w:trPr>
          <w:trHeight w:val="475" w:hRule="atLeast"/>
        </w:trPr>
        <w:tc>
          <w:tcPr>
            <w:tcW w:w="0" w:type="auto"/>
            <w:vMerge w:val="continue"/>
            <w:tcBorders>
              <w:top w:val="nil"/>
              <w:left w:val="single" w:color="000000" w:sz="6" w:space="0"/>
              <w:bottom w:val="nil"/>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其中：出口货物及修理修配服务不得免征和       抵扣税额</w:t>
            </w:r>
          </w:p>
        </w:tc>
        <w:tc>
          <w:tcPr>
            <w:tcW w:w="1306" w:type="dxa"/>
            <w:tcBorders>
              <w:top w:val="single" w:color="000000" w:sz="6" w:space="0"/>
              <w:left w:val="single" w:color="000000" w:sz="6" w:space="0"/>
              <w:bottom w:val="single" w:color="000000" w:sz="6" w:space="0"/>
              <w:right w:val="single" w:color="000000" w:sz="6" w:space="0"/>
            </w:tcBorders>
            <w:vAlign w:val="center"/>
          </w:tcPr>
          <w:p>
            <w:pPr>
              <w:spacing w:after="0"/>
              <w:ind w:left="5"/>
              <w:jc w:val="center"/>
            </w:pPr>
            <w:r>
              <w:rPr>
                <w:rFonts w:ascii="Times New Roman" w:hAnsi="Times New Roman" w:eastAsia="Times New Roman" w:cs="Times New Roman"/>
                <w:sz w:val="18"/>
              </w:rPr>
              <w:t>6</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vAlign w:val="center"/>
          </w:tcPr>
          <w:p>
            <w:pPr>
              <w:spacing w:after="0"/>
              <w:ind w:left="4"/>
              <w:jc w:val="center"/>
            </w:pPr>
            <w:r>
              <w:rPr>
                <w:rFonts w:ascii="宋体" w:hAnsi="宋体" w:eastAsia="宋体" w:cs="宋体"/>
                <w:sz w:val="18"/>
              </w:rPr>
              <w:t>—</w:t>
            </w:r>
          </w:p>
        </w:tc>
      </w:tr>
      <w:tr>
        <w:trPr>
          <w:trHeight w:val="475" w:hRule="atLeast"/>
        </w:trPr>
        <w:tc>
          <w:tcPr>
            <w:tcW w:w="0" w:type="auto"/>
            <w:vMerge w:val="continue"/>
            <w:tcBorders>
              <w:top w:val="nil"/>
              <w:left w:val="single" w:color="000000" w:sz="6" w:space="0"/>
              <w:bottom w:val="nil"/>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 xml:space="preserve">      跨境销售服务及无形资产不得免征和       抵扣税额</w:t>
            </w:r>
          </w:p>
        </w:tc>
        <w:tc>
          <w:tcPr>
            <w:tcW w:w="1306" w:type="dxa"/>
            <w:tcBorders>
              <w:top w:val="single" w:color="000000" w:sz="6" w:space="0"/>
              <w:left w:val="single" w:color="000000" w:sz="6" w:space="0"/>
              <w:bottom w:val="single" w:color="000000" w:sz="6" w:space="0"/>
              <w:right w:val="single" w:color="000000" w:sz="6" w:space="0"/>
            </w:tcBorders>
            <w:vAlign w:val="center"/>
          </w:tcPr>
          <w:p>
            <w:pPr>
              <w:spacing w:after="0"/>
              <w:ind w:left="5"/>
              <w:jc w:val="center"/>
            </w:pPr>
            <w:r>
              <w:rPr>
                <w:rFonts w:ascii="Times New Roman" w:hAnsi="Times New Roman" w:eastAsia="Times New Roman" w:cs="Times New Roman"/>
                <w:sz w:val="18"/>
              </w:rPr>
              <w:t>7</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vAlign w:val="center"/>
          </w:tcPr>
          <w:p>
            <w:pPr>
              <w:spacing w:after="0"/>
              <w:ind w:left="4"/>
              <w:jc w:val="center"/>
            </w:pPr>
            <w:r>
              <w:rPr>
                <w:rFonts w:ascii="宋体" w:hAnsi="宋体" w:eastAsia="宋体" w:cs="宋体"/>
                <w:sz w:val="18"/>
              </w:rPr>
              <w:t>—</w:t>
            </w:r>
          </w:p>
        </w:tc>
      </w:tr>
      <w:tr>
        <w:tblPrEx>
          <w:tblCellMar>
            <w:top w:w="48" w:type="dxa"/>
            <w:left w:w="29" w:type="dxa"/>
            <w:bottom w:w="24" w:type="dxa"/>
            <w:right w:w="19" w:type="dxa"/>
          </w:tblCellMar>
        </w:tblPrEx>
        <w:trPr>
          <w:trHeight w:val="398" w:hRule="atLeast"/>
        </w:trPr>
        <w:tc>
          <w:tcPr>
            <w:tcW w:w="0" w:type="auto"/>
            <w:vMerge w:val="continue"/>
            <w:tcBorders>
              <w:top w:val="nil"/>
              <w:left w:val="single" w:color="000000" w:sz="6" w:space="0"/>
              <w:bottom w:val="nil"/>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进料加工核销应调整不得免征和抵扣税额</w:t>
            </w:r>
          </w:p>
        </w:tc>
        <w:tc>
          <w:tcPr>
            <w:tcW w:w="1306" w:type="dxa"/>
            <w:tcBorders>
              <w:top w:val="single" w:color="000000" w:sz="6" w:space="0"/>
              <w:left w:val="single" w:color="000000" w:sz="6" w:space="0"/>
              <w:bottom w:val="single" w:color="000000" w:sz="6" w:space="0"/>
              <w:right w:val="single" w:color="000000" w:sz="6" w:space="0"/>
            </w:tcBorders>
          </w:tcPr>
          <w:p>
            <w:pPr>
              <w:spacing w:after="0"/>
              <w:ind w:left="5"/>
              <w:jc w:val="center"/>
            </w:pPr>
            <w:r>
              <w:rPr>
                <w:rFonts w:ascii="Times New Roman" w:hAnsi="Times New Roman" w:eastAsia="Times New Roman" w:cs="Times New Roman"/>
                <w:sz w:val="18"/>
              </w:rPr>
              <w:t>8</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48" w:type="dxa"/>
            <w:left w:w="29" w:type="dxa"/>
            <w:bottom w:w="24" w:type="dxa"/>
            <w:right w:w="19" w:type="dxa"/>
          </w:tblCellMar>
        </w:tblPrEx>
        <w:trPr>
          <w:trHeight w:val="398" w:hRule="atLeast"/>
        </w:trPr>
        <w:tc>
          <w:tcPr>
            <w:tcW w:w="0" w:type="auto"/>
            <w:vMerge w:val="continue"/>
            <w:tcBorders>
              <w:top w:val="nil"/>
              <w:left w:val="single" w:color="000000" w:sz="6" w:space="0"/>
              <w:bottom w:val="single" w:color="000000" w:sz="6" w:space="0"/>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免抵退税不得免征和抵扣税额合计</w:t>
            </w:r>
          </w:p>
        </w:tc>
        <w:tc>
          <w:tcPr>
            <w:tcW w:w="1306" w:type="dxa"/>
            <w:tcBorders>
              <w:top w:val="single" w:color="000000" w:sz="6" w:space="0"/>
              <w:left w:val="single" w:color="000000" w:sz="6" w:space="0"/>
              <w:bottom w:val="single" w:color="000000" w:sz="6" w:space="0"/>
              <w:right w:val="single" w:color="000000" w:sz="6" w:space="0"/>
            </w:tcBorders>
          </w:tcPr>
          <w:p>
            <w:pPr>
              <w:spacing w:after="0"/>
              <w:ind w:left="2"/>
              <w:jc w:val="center"/>
            </w:pPr>
            <w:r>
              <w:rPr>
                <w:rFonts w:ascii="Times New Roman" w:hAnsi="Times New Roman" w:eastAsia="Times New Roman" w:cs="Times New Roman"/>
                <w:sz w:val="18"/>
              </w:rPr>
              <w:t>9=5+8</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tcPr>
          <w:p>
            <w:pPr>
              <w:spacing w:after="0"/>
            </w:pPr>
          </w:p>
        </w:tc>
      </w:tr>
      <w:tr>
        <w:trPr>
          <w:trHeight w:val="398" w:hRule="atLeast"/>
        </w:trPr>
        <w:tc>
          <w:tcPr>
            <w:tcW w:w="418"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19"/>
              <w:jc w:val="center"/>
            </w:pPr>
            <w:r>
              <w:rPr>
                <w:rFonts w:ascii="宋体" w:hAnsi="宋体" w:eastAsia="宋体" w:cs="宋体"/>
                <w:sz w:val="18"/>
              </w:rPr>
              <w:t>应退税额和免抵税额</w:t>
            </w: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免抵退税额</w:t>
            </w:r>
          </w:p>
        </w:tc>
        <w:tc>
          <w:tcPr>
            <w:tcW w:w="1306" w:type="dxa"/>
            <w:tcBorders>
              <w:top w:val="single" w:color="000000" w:sz="6" w:space="0"/>
              <w:left w:val="single" w:color="000000" w:sz="6" w:space="0"/>
              <w:bottom w:val="single" w:color="000000" w:sz="6" w:space="0"/>
              <w:right w:val="single" w:color="000000" w:sz="6" w:space="0"/>
            </w:tcBorders>
          </w:tcPr>
          <w:p>
            <w:pPr>
              <w:spacing w:after="0"/>
              <w:ind w:left="6"/>
              <w:jc w:val="center"/>
            </w:pPr>
            <w:r>
              <w:rPr>
                <w:rFonts w:ascii="Times New Roman" w:hAnsi="Times New Roman" w:eastAsia="Times New Roman" w:cs="Times New Roman"/>
                <w:sz w:val="18"/>
              </w:rPr>
              <w:t>10=11+12</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宋体" w:hAnsi="宋体" w:eastAsia="宋体" w:cs="宋体"/>
                <w:sz w:val="18"/>
              </w:rPr>
              <w:t>—</w:t>
            </w:r>
          </w:p>
        </w:tc>
      </w:tr>
      <w:tr>
        <w:tblPrEx>
          <w:tblCellMar>
            <w:top w:w="48" w:type="dxa"/>
            <w:left w:w="29" w:type="dxa"/>
            <w:bottom w:w="24" w:type="dxa"/>
            <w:right w:w="19" w:type="dxa"/>
          </w:tblCellMar>
        </w:tblPrEx>
        <w:trPr>
          <w:trHeight w:val="355" w:hRule="atLeast"/>
        </w:trPr>
        <w:tc>
          <w:tcPr>
            <w:tcW w:w="0" w:type="auto"/>
            <w:vMerge w:val="continue"/>
            <w:tcBorders>
              <w:top w:val="nil"/>
              <w:left w:val="single" w:color="000000" w:sz="6" w:space="0"/>
              <w:bottom w:val="nil"/>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其中：出口货物及修理修配服务免抵退税额</w:t>
            </w:r>
          </w:p>
        </w:tc>
        <w:tc>
          <w:tcPr>
            <w:tcW w:w="1306" w:type="dxa"/>
            <w:tcBorders>
              <w:top w:val="single" w:color="000000" w:sz="6" w:space="0"/>
              <w:left w:val="single" w:color="000000" w:sz="6" w:space="0"/>
              <w:bottom w:val="single" w:color="000000" w:sz="6" w:space="0"/>
              <w:right w:val="single" w:color="000000" w:sz="6" w:space="0"/>
            </w:tcBorders>
          </w:tcPr>
          <w:p>
            <w:pPr>
              <w:spacing w:after="0"/>
              <w:ind w:left="5"/>
              <w:jc w:val="center"/>
            </w:pPr>
            <w:r>
              <w:rPr>
                <w:rFonts w:ascii="Times New Roman" w:hAnsi="Times New Roman" w:eastAsia="Times New Roman" w:cs="Times New Roman"/>
                <w:sz w:val="18"/>
              </w:rPr>
              <w:t>11</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宋体" w:hAnsi="宋体" w:eastAsia="宋体" w:cs="宋体"/>
                <w:sz w:val="18"/>
              </w:rPr>
              <w:t>—</w:t>
            </w:r>
          </w:p>
        </w:tc>
      </w:tr>
      <w:tr>
        <w:tblPrEx>
          <w:tblCellMar>
            <w:top w:w="48" w:type="dxa"/>
            <w:left w:w="29" w:type="dxa"/>
            <w:bottom w:w="24" w:type="dxa"/>
            <w:right w:w="19" w:type="dxa"/>
          </w:tblCellMar>
        </w:tblPrEx>
        <w:trPr>
          <w:trHeight w:val="355" w:hRule="atLeast"/>
        </w:trPr>
        <w:tc>
          <w:tcPr>
            <w:tcW w:w="0" w:type="auto"/>
            <w:vMerge w:val="continue"/>
            <w:tcBorders>
              <w:top w:val="nil"/>
              <w:left w:val="single" w:color="000000" w:sz="6" w:space="0"/>
              <w:bottom w:val="nil"/>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 xml:space="preserve">      跨境销售服务及无形资产免抵退税额</w:t>
            </w:r>
          </w:p>
        </w:tc>
        <w:tc>
          <w:tcPr>
            <w:tcW w:w="1306" w:type="dxa"/>
            <w:tcBorders>
              <w:top w:val="single" w:color="000000" w:sz="6" w:space="0"/>
              <w:left w:val="single" w:color="000000" w:sz="6" w:space="0"/>
              <w:bottom w:val="single" w:color="000000" w:sz="6" w:space="0"/>
              <w:right w:val="single" w:color="000000" w:sz="6" w:space="0"/>
            </w:tcBorders>
          </w:tcPr>
          <w:p>
            <w:pPr>
              <w:spacing w:after="0"/>
              <w:ind w:left="5"/>
              <w:jc w:val="center"/>
            </w:pPr>
            <w:r>
              <w:rPr>
                <w:rFonts w:ascii="Times New Roman" w:hAnsi="Times New Roman" w:eastAsia="Times New Roman" w:cs="Times New Roman"/>
                <w:sz w:val="18"/>
              </w:rPr>
              <w:t>12</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宋体" w:hAnsi="宋体" w:eastAsia="宋体" w:cs="宋体"/>
                <w:sz w:val="18"/>
              </w:rPr>
              <w:t>—</w:t>
            </w:r>
          </w:p>
        </w:tc>
      </w:tr>
      <w:tr>
        <w:tblPrEx>
          <w:tblCellMar>
            <w:top w:w="48" w:type="dxa"/>
            <w:left w:w="29" w:type="dxa"/>
            <w:bottom w:w="24" w:type="dxa"/>
            <w:right w:w="19" w:type="dxa"/>
          </w:tblCellMar>
        </w:tblPrEx>
        <w:trPr>
          <w:trHeight w:val="355" w:hRule="atLeast"/>
        </w:trPr>
        <w:tc>
          <w:tcPr>
            <w:tcW w:w="0" w:type="auto"/>
            <w:vMerge w:val="continue"/>
            <w:tcBorders>
              <w:top w:val="nil"/>
              <w:left w:val="single" w:color="000000" w:sz="6" w:space="0"/>
              <w:bottom w:val="nil"/>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上期结转需冲减的免抵退税额</w:t>
            </w:r>
          </w:p>
        </w:tc>
        <w:tc>
          <w:tcPr>
            <w:tcW w:w="1306" w:type="dxa"/>
            <w:tcBorders>
              <w:top w:val="single" w:color="000000" w:sz="6" w:space="0"/>
              <w:left w:val="single" w:color="000000" w:sz="6" w:space="0"/>
              <w:bottom w:val="single" w:color="000000" w:sz="6" w:space="0"/>
              <w:right w:val="single" w:color="000000" w:sz="6" w:space="0"/>
            </w:tcBorders>
          </w:tcPr>
          <w:p>
            <w:pPr>
              <w:spacing w:after="0"/>
              <w:ind w:left="5"/>
              <w:jc w:val="center"/>
            </w:pPr>
            <w:r>
              <w:rPr>
                <w:rFonts w:ascii="Times New Roman" w:hAnsi="Times New Roman" w:eastAsia="Times New Roman" w:cs="Times New Roman"/>
                <w:sz w:val="18"/>
              </w:rPr>
              <w:t>13</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ind w:left="2"/>
              <w:jc w:val="center"/>
            </w:pPr>
            <w:r>
              <w:rPr>
                <w:rFonts w:ascii="宋体" w:hAnsi="宋体" w:eastAsia="宋体" w:cs="宋体"/>
                <w:sz w:val="18"/>
              </w:rPr>
              <w:t>—</w:t>
            </w:r>
          </w:p>
        </w:tc>
        <w:tc>
          <w:tcPr>
            <w:tcW w:w="1574"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宋体" w:hAnsi="宋体" w:eastAsia="宋体" w:cs="宋体"/>
                <w:sz w:val="18"/>
              </w:rPr>
              <w:t>—</w:t>
            </w:r>
          </w:p>
        </w:tc>
      </w:tr>
      <w:tr>
        <w:trPr>
          <w:trHeight w:val="355" w:hRule="atLeast"/>
        </w:trPr>
        <w:tc>
          <w:tcPr>
            <w:tcW w:w="0" w:type="auto"/>
            <w:vMerge w:val="continue"/>
            <w:tcBorders>
              <w:top w:val="nil"/>
              <w:left w:val="single" w:color="000000" w:sz="6" w:space="0"/>
              <w:bottom w:val="nil"/>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进料加工核销应调整免抵退税额</w:t>
            </w:r>
          </w:p>
        </w:tc>
        <w:tc>
          <w:tcPr>
            <w:tcW w:w="1306" w:type="dxa"/>
            <w:tcBorders>
              <w:top w:val="single" w:color="000000" w:sz="6" w:space="0"/>
              <w:left w:val="single" w:color="000000" w:sz="6" w:space="0"/>
              <w:bottom w:val="single" w:color="000000" w:sz="6" w:space="0"/>
              <w:right w:val="single" w:color="000000" w:sz="6" w:space="0"/>
            </w:tcBorders>
          </w:tcPr>
          <w:p>
            <w:pPr>
              <w:spacing w:after="0"/>
              <w:ind w:left="5"/>
              <w:jc w:val="center"/>
            </w:pPr>
            <w:r>
              <w:rPr>
                <w:rFonts w:ascii="Times New Roman" w:hAnsi="Times New Roman" w:eastAsia="Times New Roman" w:cs="Times New Roman"/>
                <w:sz w:val="18"/>
              </w:rPr>
              <w:t>14</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宋体" w:hAnsi="宋体" w:eastAsia="宋体" w:cs="宋体"/>
                <w:sz w:val="18"/>
              </w:rPr>
              <w:t>—</w:t>
            </w:r>
          </w:p>
        </w:tc>
      </w:tr>
      <w:tr>
        <w:tblPrEx>
          <w:tblCellMar>
            <w:top w:w="48" w:type="dxa"/>
            <w:left w:w="29" w:type="dxa"/>
            <w:bottom w:w="24" w:type="dxa"/>
            <w:right w:w="19" w:type="dxa"/>
          </w:tblCellMar>
        </w:tblPrEx>
        <w:trPr>
          <w:trHeight w:val="1303" w:hRule="atLeast"/>
        </w:trPr>
        <w:tc>
          <w:tcPr>
            <w:tcW w:w="0" w:type="auto"/>
            <w:vMerge w:val="continue"/>
            <w:tcBorders>
              <w:top w:val="nil"/>
              <w:left w:val="single" w:color="000000" w:sz="6" w:space="0"/>
              <w:bottom w:val="nil"/>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8"/>
              </w:rPr>
              <w:t>免抵退税额合计</w:t>
            </w:r>
          </w:p>
        </w:tc>
        <w:tc>
          <w:tcPr>
            <w:tcW w:w="1306" w:type="dxa"/>
            <w:tcBorders>
              <w:top w:val="single" w:color="000000" w:sz="6" w:space="0"/>
              <w:left w:val="single" w:color="000000" w:sz="6" w:space="0"/>
              <w:bottom w:val="single" w:color="000000" w:sz="6" w:space="0"/>
              <w:right w:val="single" w:color="000000" w:sz="6" w:space="0"/>
            </w:tcBorders>
            <w:vAlign w:val="center"/>
          </w:tcPr>
          <w:p>
            <w:pPr>
              <w:spacing w:after="5"/>
              <w:ind w:left="5"/>
              <w:jc w:val="center"/>
            </w:pPr>
            <w:r>
              <w:rPr>
                <w:rFonts w:ascii="Times New Roman" w:hAnsi="Times New Roman" w:eastAsia="Times New Roman" w:cs="Times New Roman"/>
                <w:sz w:val="18"/>
              </w:rPr>
              <w:t>15</w:t>
            </w:r>
          </w:p>
          <w:p>
            <w:pPr>
              <w:spacing w:after="0"/>
              <w:ind w:left="2"/>
              <w:jc w:val="both"/>
            </w:pPr>
            <w:r>
              <w:rPr>
                <w:rFonts w:ascii="宋体" w:hAnsi="宋体" w:eastAsia="宋体" w:cs="宋体"/>
                <w:sz w:val="18"/>
              </w:rPr>
              <w:t>（如</w:t>
            </w:r>
            <w:r>
              <w:rPr>
                <w:rFonts w:ascii="Times New Roman" w:hAnsi="Times New Roman" w:eastAsia="Times New Roman" w:cs="Times New Roman"/>
                <w:sz w:val="18"/>
              </w:rPr>
              <w:t>10-13+14</w:t>
            </w:r>
            <w:r>
              <w:rPr>
                <w:rFonts w:ascii="宋体" w:hAnsi="宋体" w:eastAsia="宋体" w:cs="宋体"/>
                <w:sz w:val="18"/>
              </w:rPr>
              <w:t>＞</w:t>
            </w:r>
          </w:p>
          <w:p>
            <w:pPr>
              <w:spacing w:after="0"/>
              <w:jc w:val="center"/>
            </w:pPr>
            <w:r>
              <w:rPr>
                <w:rFonts w:ascii="Times New Roman" w:hAnsi="Times New Roman" w:eastAsia="Times New Roman" w:cs="Times New Roman"/>
                <w:sz w:val="18"/>
              </w:rPr>
              <w:t>0</w:t>
            </w:r>
            <w:r>
              <w:rPr>
                <w:rFonts w:ascii="宋体" w:hAnsi="宋体" w:eastAsia="宋体" w:cs="宋体"/>
                <w:sz w:val="18"/>
              </w:rPr>
              <w:t>则为</w:t>
            </w:r>
            <w:r>
              <w:rPr>
                <w:rFonts w:ascii="Times New Roman" w:hAnsi="Times New Roman" w:eastAsia="Times New Roman" w:cs="Times New Roman"/>
                <w:sz w:val="18"/>
              </w:rPr>
              <w:t xml:space="preserve">10-13+14, </w:t>
            </w:r>
            <w:r>
              <w:rPr>
                <w:rFonts w:ascii="宋体" w:hAnsi="宋体" w:eastAsia="宋体" w:cs="宋体"/>
                <w:sz w:val="18"/>
              </w:rPr>
              <w:t>否则为</w:t>
            </w:r>
            <w:r>
              <w:rPr>
                <w:rFonts w:ascii="Times New Roman" w:hAnsi="Times New Roman" w:eastAsia="Times New Roman" w:cs="Times New Roman"/>
                <w:sz w:val="18"/>
              </w:rPr>
              <w:t>0)</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vAlign w:val="center"/>
          </w:tcPr>
          <w:p>
            <w:pPr>
              <w:spacing w:after="0"/>
              <w:ind w:left="4"/>
              <w:jc w:val="center"/>
            </w:pPr>
            <w:r>
              <w:rPr>
                <w:rFonts w:ascii="宋体" w:hAnsi="宋体" w:eastAsia="宋体" w:cs="宋体"/>
                <w:sz w:val="18"/>
              </w:rPr>
              <w:t>—</w:t>
            </w:r>
          </w:p>
        </w:tc>
      </w:tr>
      <w:tr>
        <w:tblPrEx>
          <w:tblCellMar>
            <w:top w:w="48" w:type="dxa"/>
            <w:left w:w="29" w:type="dxa"/>
            <w:bottom w:w="24" w:type="dxa"/>
            <w:right w:w="19" w:type="dxa"/>
          </w:tblCellMar>
        </w:tblPrEx>
        <w:trPr>
          <w:trHeight w:val="355" w:hRule="atLeast"/>
        </w:trPr>
        <w:tc>
          <w:tcPr>
            <w:tcW w:w="0" w:type="auto"/>
            <w:vMerge w:val="continue"/>
            <w:tcBorders>
              <w:top w:val="nil"/>
              <w:left w:val="single" w:color="000000" w:sz="6" w:space="0"/>
              <w:bottom w:val="nil"/>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结转下期需冲减的免抵退税额</w:t>
            </w:r>
          </w:p>
        </w:tc>
        <w:tc>
          <w:tcPr>
            <w:tcW w:w="1306" w:type="dxa"/>
            <w:tcBorders>
              <w:top w:val="single" w:color="000000" w:sz="6" w:space="0"/>
              <w:left w:val="single" w:color="000000" w:sz="6" w:space="0"/>
              <w:bottom w:val="single" w:color="000000" w:sz="6" w:space="0"/>
              <w:right w:val="single" w:color="000000" w:sz="6" w:space="0"/>
            </w:tcBorders>
          </w:tcPr>
          <w:p>
            <w:pPr>
              <w:spacing w:after="0"/>
              <w:ind w:left="12"/>
              <w:jc w:val="both"/>
            </w:pPr>
            <w:r>
              <w:rPr>
                <w:rFonts w:ascii="Times New Roman" w:hAnsi="Times New Roman" w:eastAsia="Times New Roman" w:cs="Times New Roman"/>
                <w:sz w:val="18"/>
              </w:rPr>
              <w:t>16=13-10-14+15</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ind w:left="2"/>
              <w:jc w:val="center"/>
            </w:pPr>
            <w:r>
              <w:rPr>
                <w:rFonts w:ascii="宋体" w:hAnsi="宋体" w:eastAsia="宋体" w:cs="宋体"/>
                <w:sz w:val="18"/>
              </w:rPr>
              <w:t>—</w:t>
            </w:r>
          </w:p>
        </w:tc>
        <w:tc>
          <w:tcPr>
            <w:tcW w:w="1574"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宋体" w:hAnsi="宋体" w:eastAsia="宋体" w:cs="宋体"/>
                <w:sz w:val="18"/>
              </w:rPr>
              <w:t>—</w:t>
            </w:r>
          </w:p>
        </w:tc>
      </w:tr>
      <w:tr>
        <w:tblPrEx>
          <w:tblCellMar>
            <w:top w:w="48" w:type="dxa"/>
            <w:left w:w="29" w:type="dxa"/>
            <w:bottom w:w="24" w:type="dxa"/>
            <w:right w:w="19" w:type="dxa"/>
          </w:tblCellMar>
        </w:tblPrEx>
        <w:trPr>
          <w:trHeight w:val="384" w:hRule="atLeast"/>
        </w:trPr>
        <w:tc>
          <w:tcPr>
            <w:tcW w:w="0" w:type="auto"/>
            <w:vMerge w:val="continue"/>
            <w:tcBorders>
              <w:top w:val="nil"/>
              <w:left w:val="single" w:color="000000" w:sz="6" w:space="0"/>
              <w:bottom w:val="nil"/>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增值税纳税申报表期末留抵税额</w:t>
            </w:r>
          </w:p>
        </w:tc>
        <w:tc>
          <w:tcPr>
            <w:tcW w:w="1306" w:type="dxa"/>
            <w:tcBorders>
              <w:top w:val="single" w:color="000000" w:sz="6" w:space="0"/>
              <w:left w:val="single" w:color="000000" w:sz="6" w:space="0"/>
              <w:bottom w:val="single" w:color="000000" w:sz="6" w:space="0"/>
              <w:right w:val="single" w:color="000000" w:sz="6" w:space="0"/>
            </w:tcBorders>
          </w:tcPr>
          <w:p>
            <w:pPr>
              <w:spacing w:after="0"/>
              <w:ind w:left="5"/>
              <w:jc w:val="center"/>
            </w:pPr>
            <w:r>
              <w:rPr>
                <w:rFonts w:ascii="Times New Roman" w:hAnsi="Times New Roman" w:eastAsia="Times New Roman" w:cs="Times New Roman"/>
                <w:sz w:val="18"/>
              </w:rPr>
              <w:t>17</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ind w:left="2"/>
              <w:jc w:val="center"/>
            </w:pPr>
            <w:r>
              <w:rPr>
                <w:rFonts w:ascii="宋体" w:hAnsi="宋体" w:eastAsia="宋体" w:cs="宋体"/>
                <w:sz w:val="18"/>
              </w:rPr>
              <w:t>—</w:t>
            </w:r>
          </w:p>
        </w:tc>
        <w:tc>
          <w:tcPr>
            <w:tcW w:w="1574"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宋体" w:hAnsi="宋体" w:eastAsia="宋体" w:cs="宋体"/>
                <w:sz w:val="18"/>
              </w:rPr>
              <w:t>—</w:t>
            </w:r>
          </w:p>
        </w:tc>
      </w:tr>
      <w:tr>
        <w:tblPrEx>
          <w:tblCellMar>
            <w:top w:w="48" w:type="dxa"/>
            <w:left w:w="29" w:type="dxa"/>
            <w:bottom w:w="24" w:type="dxa"/>
            <w:right w:w="19" w:type="dxa"/>
          </w:tblCellMar>
        </w:tblPrEx>
        <w:trPr>
          <w:trHeight w:val="636" w:hRule="atLeast"/>
        </w:trPr>
        <w:tc>
          <w:tcPr>
            <w:tcW w:w="0" w:type="auto"/>
            <w:vMerge w:val="continue"/>
            <w:tcBorders>
              <w:top w:val="nil"/>
              <w:left w:val="single" w:color="000000" w:sz="6" w:space="0"/>
              <w:bottom w:val="nil"/>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8"/>
              </w:rPr>
              <w:t>应退税额</w:t>
            </w:r>
          </w:p>
        </w:tc>
        <w:tc>
          <w:tcPr>
            <w:tcW w:w="1306"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18"/>
              </w:rPr>
              <w:t>18(</w:t>
            </w:r>
            <w:r>
              <w:rPr>
                <w:rFonts w:ascii="宋体" w:hAnsi="宋体" w:eastAsia="宋体" w:cs="宋体"/>
                <w:sz w:val="18"/>
              </w:rPr>
              <w:t>如</w:t>
            </w:r>
            <w:r>
              <w:rPr>
                <w:rFonts w:ascii="Times New Roman" w:hAnsi="Times New Roman" w:eastAsia="Times New Roman" w:cs="Times New Roman"/>
                <w:sz w:val="18"/>
              </w:rPr>
              <w:t>15&gt;17</w:t>
            </w:r>
            <w:r>
              <w:rPr>
                <w:rFonts w:ascii="宋体" w:hAnsi="宋体" w:eastAsia="宋体" w:cs="宋体"/>
                <w:sz w:val="18"/>
              </w:rPr>
              <w:t xml:space="preserve">则为 </w:t>
            </w:r>
            <w:r>
              <w:rPr>
                <w:rFonts w:ascii="Times New Roman" w:hAnsi="Times New Roman" w:eastAsia="Times New Roman" w:cs="Times New Roman"/>
                <w:sz w:val="18"/>
              </w:rPr>
              <w:t>17,</w:t>
            </w:r>
            <w:r>
              <w:rPr>
                <w:rFonts w:ascii="宋体" w:hAnsi="宋体" w:eastAsia="宋体" w:cs="宋体"/>
                <w:sz w:val="18"/>
              </w:rPr>
              <w:t>否则为</w:t>
            </w:r>
            <w:r>
              <w:rPr>
                <w:rFonts w:ascii="Times New Roman" w:hAnsi="Times New Roman" w:eastAsia="Times New Roman" w:cs="Times New Roman"/>
                <w:sz w:val="18"/>
              </w:rPr>
              <w:t>15)</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vAlign w:val="center"/>
          </w:tcPr>
          <w:p>
            <w:pPr>
              <w:spacing w:after="0"/>
              <w:ind w:left="4"/>
              <w:jc w:val="center"/>
            </w:pPr>
            <w:r>
              <w:rPr>
                <w:rFonts w:ascii="宋体" w:hAnsi="宋体" w:eastAsia="宋体" w:cs="宋体"/>
                <w:sz w:val="18"/>
              </w:rPr>
              <w:t>—</w:t>
            </w:r>
          </w:p>
        </w:tc>
      </w:tr>
      <w:tr>
        <w:tblPrEx>
          <w:tblCellMar>
            <w:top w:w="48" w:type="dxa"/>
            <w:left w:w="29" w:type="dxa"/>
            <w:bottom w:w="24" w:type="dxa"/>
            <w:right w:w="19" w:type="dxa"/>
          </w:tblCellMar>
        </w:tblPrEx>
        <w:trPr>
          <w:trHeight w:val="398" w:hRule="atLeast"/>
        </w:trPr>
        <w:tc>
          <w:tcPr>
            <w:tcW w:w="0" w:type="auto"/>
            <w:vMerge w:val="continue"/>
            <w:tcBorders>
              <w:top w:val="nil"/>
              <w:left w:val="single" w:color="000000" w:sz="6" w:space="0"/>
              <w:bottom w:val="single" w:color="000000" w:sz="6" w:space="0"/>
              <w:right w:val="single" w:color="000000" w:sz="6" w:space="0"/>
            </w:tcBorders>
          </w:tcPr>
          <w:p>
            <w:pPr>
              <w:spacing w:after="0"/>
            </w:pPr>
          </w:p>
        </w:tc>
        <w:tc>
          <w:tcPr>
            <w:tcW w:w="3701"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8"/>
              </w:rPr>
              <w:t>免抵税额</w:t>
            </w:r>
          </w:p>
        </w:tc>
        <w:tc>
          <w:tcPr>
            <w:tcW w:w="1306"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Times New Roman" w:hAnsi="Times New Roman" w:eastAsia="Times New Roman" w:cs="Times New Roman"/>
                <w:sz w:val="18"/>
              </w:rPr>
              <w:t>19=15-18</w:t>
            </w:r>
          </w:p>
        </w:tc>
        <w:tc>
          <w:tcPr>
            <w:tcW w:w="1421" w:type="dxa"/>
            <w:tcBorders>
              <w:top w:val="single" w:color="000000" w:sz="6" w:space="0"/>
              <w:left w:val="single" w:color="000000" w:sz="6" w:space="0"/>
              <w:bottom w:val="single" w:color="000000" w:sz="6" w:space="0"/>
              <w:right w:val="single" w:color="000000" w:sz="6" w:space="0"/>
            </w:tcBorders>
          </w:tcPr>
          <w:p>
            <w:pPr>
              <w:spacing w:after="0"/>
            </w:pPr>
          </w:p>
        </w:tc>
        <w:tc>
          <w:tcPr>
            <w:tcW w:w="1284" w:type="dxa"/>
            <w:tcBorders>
              <w:top w:val="single" w:color="000000" w:sz="6" w:space="0"/>
              <w:left w:val="single" w:color="000000" w:sz="6" w:space="0"/>
              <w:bottom w:val="single" w:color="000000" w:sz="6" w:space="0"/>
              <w:right w:val="single" w:color="000000" w:sz="6" w:space="0"/>
            </w:tcBorders>
          </w:tcPr>
          <w:p>
            <w:pPr>
              <w:spacing w:after="0"/>
            </w:pPr>
          </w:p>
        </w:tc>
        <w:tc>
          <w:tcPr>
            <w:tcW w:w="1574"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宋体" w:hAnsi="宋体" w:eastAsia="宋体" w:cs="宋体"/>
                <w:sz w:val="18"/>
              </w:rPr>
              <w:t>—</w:t>
            </w:r>
          </w:p>
        </w:tc>
      </w:tr>
      <w:tr>
        <w:tblPrEx>
          <w:tblCellMar>
            <w:top w:w="48" w:type="dxa"/>
            <w:left w:w="29" w:type="dxa"/>
            <w:bottom w:w="24" w:type="dxa"/>
            <w:right w:w="19" w:type="dxa"/>
          </w:tblCellMar>
        </w:tblPrEx>
        <w:trPr>
          <w:trHeight w:val="1200" w:hRule="atLeast"/>
        </w:trPr>
        <w:tc>
          <w:tcPr>
            <w:tcW w:w="9703" w:type="dxa"/>
            <w:gridSpan w:val="6"/>
            <w:tcBorders>
              <w:top w:val="single" w:color="000000" w:sz="6" w:space="0"/>
              <w:left w:val="single" w:color="000000" w:sz="6" w:space="0"/>
              <w:bottom w:val="single" w:color="000000" w:sz="6" w:space="0"/>
              <w:right w:val="single" w:color="000000" w:sz="6" w:space="0"/>
            </w:tcBorders>
            <w:vAlign w:val="center"/>
          </w:tcPr>
          <w:p>
            <w:pPr>
              <w:spacing w:after="0" w:line="226" w:lineRule="auto"/>
              <w:ind w:left="2"/>
              <w:jc w:val="both"/>
            </w:pPr>
            <w:r>
              <w:rPr>
                <w:rFonts w:ascii="宋体" w:hAnsi="宋体" w:eastAsia="宋体" w:cs="宋体"/>
                <w:sz w:val="18"/>
              </w:rPr>
              <w:t xml:space="preserve">声明：此表是根据国家税收法律法规及相关规定填写的，本人（单位）对填报内容（及附带资料）的真实性、可靠性、完整性负责。 </w:t>
            </w:r>
          </w:p>
          <w:p>
            <w:pPr>
              <w:spacing w:after="0"/>
              <w:ind w:left="2"/>
            </w:pPr>
            <w:r>
              <w:rPr>
                <w:rFonts w:ascii="宋体" w:hAnsi="宋体" w:eastAsia="宋体" w:cs="宋体"/>
                <w:sz w:val="18"/>
              </w:rPr>
              <w:t xml:space="preserve">                                                       </w:t>
            </w:r>
          </w:p>
          <w:p>
            <w:pPr>
              <w:spacing w:after="0"/>
              <w:ind w:left="2"/>
            </w:pPr>
            <w:r>
              <w:rPr>
                <w:rFonts w:ascii="宋体" w:hAnsi="宋体" w:eastAsia="宋体" w:cs="宋体"/>
                <w:sz w:val="18"/>
              </w:rPr>
              <w:t xml:space="preserve">                                                               纳税人（签章）：         年  月  日</w:t>
            </w:r>
          </w:p>
        </w:tc>
      </w:tr>
      <w:tr>
        <w:tblPrEx>
          <w:tblCellMar>
            <w:top w:w="48" w:type="dxa"/>
            <w:left w:w="29" w:type="dxa"/>
            <w:bottom w:w="24" w:type="dxa"/>
            <w:right w:w="19" w:type="dxa"/>
          </w:tblCellMar>
        </w:tblPrEx>
        <w:trPr>
          <w:trHeight w:val="1913" w:hRule="atLeast"/>
        </w:trPr>
        <w:tc>
          <w:tcPr>
            <w:tcW w:w="5424" w:type="dxa"/>
            <w:gridSpan w:val="3"/>
            <w:tcBorders>
              <w:top w:val="single" w:color="000000" w:sz="6" w:space="0"/>
              <w:left w:val="single" w:color="000000" w:sz="6" w:space="0"/>
              <w:bottom w:val="single" w:color="000000" w:sz="6" w:space="0"/>
              <w:right w:val="single" w:color="000000" w:sz="6" w:space="0"/>
            </w:tcBorders>
            <w:vAlign w:val="center"/>
          </w:tcPr>
          <w:p>
            <w:pPr>
              <w:spacing w:after="0"/>
              <w:ind w:left="2" w:right="3003"/>
            </w:pPr>
            <w:r>
              <w:rPr>
                <w:rFonts w:ascii="宋体" w:hAnsi="宋体" w:eastAsia="宋体" w:cs="宋体"/>
                <w:sz w:val="18"/>
              </w:rPr>
              <w:t>经办人：经办人身份证号：代理机构签章：代理机构统一社会信用代码：</w:t>
            </w:r>
          </w:p>
        </w:tc>
        <w:tc>
          <w:tcPr>
            <w:tcW w:w="4279" w:type="dxa"/>
            <w:gridSpan w:val="3"/>
            <w:tcBorders>
              <w:top w:val="single" w:color="000000" w:sz="6" w:space="0"/>
              <w:left w:val="single" w:color="000000" w:sz="6" w:space="0"/>
              <w:bottom w:val="single" w:color="000000" w:sz="6" w:space="0"/>
              <w:right w:val="single" w:color="000000" w:sz="6" w:space="0"/>
            </w:tcBorders>
            <w:vAlign w:val="bottom"/>
          </w:tcPr>
          <w:p>
            <w:pPr>
              <w:spacing w:after="188"/>
              <w:ind w:left="2"/>
            </w:pPr>
            <w:r>
              <w:rPr>
                <w:rFonts w:ascii="宋体" w:hAnsi="宋体" w:eastAsia="宋体" w:cs="宋体"/>
                <w:sz w:val="18"/>
              </w:rPr>
              <w:t>受理人：</w:t>
            </w:r>
          </w:p>
          <w:p>
            <w:pPr>
              <w:spacing w:after="188"/>
              <w:ind w:left="2"/>
            </w:pPr>
            <w:r>
              <w:rPr>
                <w:rFonts w:ascii="宋体" w:hAnsi="宋体" w:eastAsia="宋体" w:cs="宋体"/>
                <w:sz w:val="18"/>
              </w:rPr>
              <w:t>受理税务机关（章）：</w:t>
            </w:r>
          </w:p>
          <w:p>
            <w:pPr>
              <w:spacing w:after="0"/>
              <w:ind w:left="2"/>
            </w:pPr>
            <w:r>
              <w:rPr>
                <w:rFonts w:ascii="宋体" w:hAnsi="宋体" w:eastAsia="宋体" w:cs="宋体"/>
                <w:sz w:val="18"/>
              </w:rPr>
              <w:t>受理日期：    年  月  日</w:t>
            </w:r>
          </w:p>
        </w:tc>
      </w:tr>
    </w:tbl>
    <w:p>
      <w:pPr>
        <w:spacing w:after="1"/>
        <w:ind w:left="-5" w:hanging="10"/>
      </w:pPr>
      <w:r>
        <w:rPr>
          <w:rFonts w:ascii="宋体" w:hAnsi="宋体" w:eastAsia="宋体" w:cs="宋体"/>
          <w:sz w:val="18"/>
        </w:rPr>
        <w:t>填表说明：</w:t>
      </w:r>
    </w:p>
    <w:p>
      <w:pPr>
        <w:spacing w:after="1"/>
        <w:ind w:left="-5" w:hanging="10"/>
      </w:pPr>
      <w:r>
        <w:rPr>
          <w:rFonts w:ascii="宋体" w:hAnsi="宋体" w:eastAsia="宋体" w:cs="宋体"/>
          <w:sz w:val="18"/>
        </w:rPr>
        <w:t>1“所属期”：按《免抵退税申报汇总表》对应的增值税纳税申报表的税款所属年月填写。</w:t>
      </w:r>
    </w:p>
    <w:p>
      <w:pPr>
        <w:spacing w:after="1"/>
        <w:ind w:left="-5" w:hanging="10"/>
      </w:pPr>
      <w:r>
        <w:rPr>
          <w:rFonts w:ascii="宋体" w:hAnsi="宋体" w:eastAsia="宋体" w:cs="宋体"/>
          <w:sz w:val="18"/>
        </w:rPr>
        <w:t>2.第1栏“免抵退税出口销售额(美元)”：按“第2栏+第3栏”计算填写。</w:t>
      </w:r>
    </w:p>
    <w:p>
      <w:pPr>
        <w:spacing w:after="1"/>
        <w:ind w:left="-5" w:hanging="10"/>
      </w:pPr>
      <w:r>
        <w:rPr>
          <w:rFonts w:ascii="宋体" w:hAnsi="宋体" w:eastAsia="宋体" w:cs="宋体"/>
          <w:sz w:val="18"/>
        </w:rPr>
        <w:t>3.第2栏“出口货物及修理修配服务销售额(美元)”：按当期《生产企业出口货物及修理修配服务免抵退税申报明细表》</w:t>
      </w:r>
    </w:p>
    <w:p>
      <w:pPr>
        <w:spacing w:after="1"/>
        <w:ind w:left="-5" w:hanging="10"/>
      </w:pPr>
      <w:r>
        <w:rPr>
          <w:rFonts w:ascii="宋体" w:hAnsi="宋体" w:eastAsia="宋体" w:cs="宋体"/>
          <w:sz w:val="18"/>
        </w:rPr>
        <w:t>“出口销售额（美元）合计”填写。</w:t>
      </w:r>
    </w:p>
    <w:p>
      <w:pPr>
        <w:spacing w:after="1"/>
        <w:ind w:left="-5" w:hanging="10"/>
      </w:pPr>
      <w:r>
        <w:rPr>
          <w:rFonts w:ascii="宋体" w:hAnsi="宋体" w:eastAsia="宋体" w:cs="宋体"/>
          <w:sz w:val="18"/>
        </w:rPr>
        <w:t>4.第3栏“跨境销售服务及无形资产销售额(美元)”：按当期《跨境销售服务及无形资产免抵退税申报明细表》“本期收款金额（美元）合计”+当期《国际运输（港澳台运输）、航天运输免抵退税申报明细表》“跨境销售服务及无形资产营业额（折美元）合计”计算填写。</w:t>
      </w:r>
    </w:p>
    <w:p>
      <w:pPr>
        <w:spacing w:after="0" w:line="224" w:lineRule="auto"/>
        <w:ind w:left="-5" w:right="-15" w:hanging="10"/>
        <w:jc w:val="both"/>
      </w:pPr>
      <w:r>
        <w:rPr>
          <w:rFonts w:ascii="宋体" w:hAnsi="宋体" w:eastAsia="宋体" w:cs="宋体"/>
          <w:sz w:val="18"/>
        </w:rPr>
        <w:t>5.第4栏“免抵退税出口销售额（人民币）”：按当期《生产企业出口货物及修理修配服务免抵退税申报明细表》“出口销售额（人民币）合计”+当期《跨境销售服务及无形资产免抵退税申报明细表》“跨境销售服务及无形资产营业额（折人民币）合计”+当期《国际运输（港澳台运输）、航天运输免抵退税申报明细表》“跨境销售服务及无形资产营业额</w:t>
      </w:r>
    </w:p>
    <w:p>
      <w:pPr>
        <w:spacing w:after="1"/>
        <w:ind w:left="-5" w:hanging="10"/>
      </w:pPr>
      <w:r>
        <w:rPr>
          <w:rFonts w:ascii="宋体" w:hAnsi="宋体" w:eastAsia="宋体" w:cs="宋体"/>
          <w:sz w:val="18"/>
        </w:rPr>
        <w:t>（折人民币）合计”计算填写。</w:t>
      </w:r>
    </w:p>
    <w:p>
      <w:pPr>
        <w:spacing w:after="1"/>
        <w:ind w:left="-5" w:hanging="10"/>
      </w:pPr>
      <w:r>
        <w:rPr>
          <w:rFonts w:ascii="宋体" w:hAnsi="宋体" w:eastAsia="宋体" w:cs="宋体"/>
          <w:sz w:val="18"/>
        </w:rPr>
        <w:t>6.第5栏“免抵退税不得免征和抵扣税额”：按“第6栏+第7栏”计算填写。</w:t>
      </w:r>
    </w:p>
    <w:p>
      <w:pPr>
        <w:spacing w:after="1"/>
        <w:ind w:left="-5" w:hanging="10"/>
      </w:pPr>
      <w:r>
        <w:rPr>
          <w:rFonts w:ascii="宋体" w:hAnsi="宋体" w:eastAsia="宋体" w:cs="宋体"/>
          <w:sz w:val="18"/>
        </w:rPr>
        <w:t>7.第6栏“出口货物及修理修配服务不得免征和抵扣税额”：按当期《生产企业出口货物及修理修配服务免抵退税申报明细表》“不得免征和抵扣税额合计”填写。</w:t>
      </w:r>
    </w:p>
    <w:p>
      <w:pPr>
        <w:spacing w:after="1"/>
        <w:ind w:left="-5" w:hanging="10"/>
      </w:pPr>
      <w:r>
        <w:rPr>
          <w:rFonts w:ascii="宋体" w:hAnsi="宋体" w:eastAsia="宋体" w:cs="宋体"/>
          <w:sz w:val="18"/>
        </w:rPr>
        <w:t>8.第7栏“跨境销售服务及无形资产不得免征和抵扣税额”：按当期《跨境销售服务及无形资产免抵退税申报明细表》“ 跨境销售服务及无形资产免抵退税计税金额乘征退税率之差合计”+当期《国际运输（港澳台运输）、航天运输免抵退税申报明细表》“跨境销售服务及无形资产免抵退税计税金额乘征退税率之差合计”计算填写。</w:t>
      </w:r>
    </w:p>
    <w:p>
      <w:pPr>
        <w:spacing w:after="1"/>
        <w:ind w:left="-5" w:hanging="10"/>
      </w:pPr>
      <w:r>
        <w:rPr>
          <w:rFonts w:ascii="宋体" w:hAnsi="宋体" w:eastAsia="宋体" w:cs="宋体"/>
          <w:sz w:val="18"/>
        </w:rPr>
        <w:t>9.第8栏“进料加工核销应调整不得免征和抵扣税额”：按最近一次免抵退税申报至本次免抵退税申报期间税务机关核销确认的《进料加工业务免抵退税核销表》“应调整不得免征和抵扣税额合计”填写。</w:t>
      </w:r>
    </w:p>
    <w:p>
      <w:pPr>
        <w:spacing w:after="1"/>
        <w:ind w:left="-5" w:hanging="10"/>
      </w:pPr>
      <w:r>
        <w:rPr>
          <w:rFonts w:ascii="宋体" w:hAnsi="宋体" w:eastAsia="宋体" w:cs="宋体"/>
          <w:sz w:val="18"/>
        </w:rPr>
        <w:t>10.第8(c)栏：按上期结转本期的免抵退税不得免征和抵扣税额抵减额的负数填写。</w:t>
      </w:r>
    </w:p>
    <w:p>
      <w:pPr>
        <w:spacing w:after="0" w:line="224" w:lineRule="auto"/>
        <w:ind w:left="-5" w:right="-15" w:hanging="10"/>
        <w:jc w:val="both"/>
      </w:pPr>
      <w:r>
        <w:rPr>
          <w:rFonts w:ascii="宋体" w:hAnsi="宋体" w:eastAsia="宋体" w:cs="宋体"/>
          <w:sz w:val="18"/>
        </w:rPr>
        <w:t>11.第9栏“免抵退税不得免征和抵扣税额合计”：按“第5栏+第8栏”计算填写。当第5(a)栏+第8(a)栏＞0，则第8(c)栏参与第9(a)栏计算：第5(a)栏+第8(a)栏+第8(c)栏＜0，则第9(a)栏=0；第5(a)栏+第8(a)栏+第8(c)栏≥0，则第9(a)栏= 第5(a)栏+第8(a)栏+第8(c)栏。当第5(a)栏+第8(a)栏≤0，则第8(c)栏不参与第9(a)栏计算：第9(a)栏=第5(a)栏+第</w:t>
      </w:r>
    </w:p>
    <w:p>
      <w:pPr>
        <w:spacing w:after="1"/>
        <w:ind w:left="-5" w:hanging="10"/>
      </w:pPr>
      <w:r>
        <w:rPr>
          <w:rFonts w:ascii="宋体" w:hAnsi="宋体" w:eastAsia="宋体" w:cs="宋体"/>
          <w:sz w:val="18"/>
        </w:rPr>
        <w:t>8(a)栏。第8(c)栏参与本期计算后的余额在下期第8(c)栏列示。</w:t>
      </w:r>
    </w:p>
    <w:p>
      <w:pPr>
        <w:spacing w:after="1"/>
        <w:ind w:left="-5" w:hanging="10"/>
      </w:pPr>
      <w:r>
        <w:rPr>
          <w:rFonts w:ascii="宋体" w:hAnsi="宋体" w:eastAsia="宋体" w:cs="宋体"/>
          <w:sz w:val="18"/>
        </w:rPr>
        <w:t>12.第9(c)栏“免抵退税不得免征和抵扣税额合计与增值税纳税申报表差额”：按当期本表第9(a)栏-最近一次免抵退税申报下一属期至当期的增值税及附加税费申报表附表二“免抵退税办法当期不得免征和抵扣税额”栏次的合计数+税务机关核准的最近一期本表的第9(c)栏计算填写。本公告生效前最近一期税务机关核准的《免抵退税申报汇总表》的第25(c) 栏按照上述公式计算填报在本栏。企业应做相应账务调整，并在下期增值税纳税申报时对增值税及附加税费申报表附表二“免抵退税办法当期不得免征和抵扣税额”栏次进行调整。</w:t>
      </w:r>
    </w:p>
    <w:p>
      <w:pPr>
        <w:spacing w:after="1"/>
        <w:ind w:left="-5" w:hanging="10"/>
      </w:pPr>
      <w:r>
        <w:rPr>
          <w:rFonts w:ascii="宋体" w:hAnsi="宋体" w:eastAsia="宋体" w:cs="宋体"/>
          <w:sz w:val="18"/>
        </w:rPr>
        <w:t>13.第10栏“免抵退税额”：按“第11栏+第12栏”计算填写。</w:t>
      </w:r>
    </w:p>
    <w:p>
      <w:pPr>
        <w:spacing w:after="1"/>
        <w:ind w:left="-5" w:hanging="10"/>
      </w:pPr>
      <w:r>
        <w:rPr>
          <w:rFonts w:ascii="宋体" w:hAnsi="宋体" w:eastAsia="宋体" w:cs="宋体"/>
          <w:sz w:val="18"/>
        </w:rPr>
        <w:t>14.第11栏“出口货物及修理修配服务免抵退税额”：按当期《生产企业出口货物及修理修配服务免抵退税申报明细表》</w:t>
      </w:r>
    </w:p>
    <w:p>
      <w:pPr>
        <w:spacing w:after="1"/>
        <w:ind w:left="-5" w:hanging="10"/>
      </w:pPr>
      <w:r>
        <w:rPr>
          <w:rFonts w:ascii="宋体" w:hAnsi="宋体" w:eastAsia="宋体" w:cs="宋体"/>
          <w:sz w:val="18"/>
        </w:rPr>
        <w:t>“免抵退税额合计”填写。</w:t>
      </w:r>
    </w:p>
    <w:p>
      <w:pPr>
        <w:spacing w:after="1"/>
        <w:ind w:left="-5" w:hanging="10"/>
      </w:pPr>
      <w:r>
        <w:rPr>
          <w:rFonts w:ascii="宋体" w:hAnsi="宋体" w:eastAsia="宋体" w:cs="宋体"/>
          <w:sz w:val="18"/>
        </w:rPr>
        <w:t>15.第12栏“跨境销售服务及无形资产免抵退税额”：按当期《跨境销售服务及无形资产免抵退税申报明细表》“跨境销售服务及无形资产销售额乘退税率合计”+当期《国际运输（港澳台运输）、航天运输免抵退税申报明细表》“跨境销售服务及无形资产免抵退税计税金额乘退税率合计”计算填写。</w:t>
      </w:r>
    </w:p>
    <w:p>
      <w:pPr>
        <w:spacing w:after="1"/>
        <w:ind w:left="-5" w:hanging="10"/>
      </w:pPr>
      <w:r>
        <w:rPr>
          <w:rFonts w:ascii="宋体" w:hAnsi="宋体" w:eastAsia="宋体" w:cs="宋体"/>
          <w:sz w:val="18"/>
        </w:rPr>
        <w:t>16.第13栏“上期结转需冲减的免抵退税额”：按上期本表“结转下期需冲减的免抵退税额”填写。本公告生效前最近一期税务机关核准的《免抵退税申报汇总表》的“结转下期免抵退税额抵减额”在本公告生效后首次填报本表时填写在本栏。</w:t>
      </w:r>
    </w:p>
    <w:p>
      <w:pPr>
        <w:spacing w:after="1"/>
        <w:ind w:left="-5" w:hanging="10"/>
      </w:pPr>
      <w:r>
        <w:rPr>
          <w:rFonts w:ascii="宋体" w:hAnsi="宋体" w:eastAsia="宋体" w:cs="宋体"/>
          <w:sz w:val="18"/>
        </w:rPr>
        <w:t>17.第14栏“进料加工核销应调整免抵退税额”：按最近一次免抵退税申报至本次免抵退税申报期间税务机关核销确认的</w:t>
      </w:r>
    </w:p>
    <w:p>
      <w:pPr>
        <w:spacing w:after="1"/>
        <w:ind w:left="-5" w:hanging="10"/>
      </w:pPr>
      <w:r>
        <w:rPr>
          <w:rFonts w:ascii="宋体" w:hAnsi="宋体" w:eastAsia="宋体" w:cs="宋体"/>
          <w:sz w:val="18"/>
        </w:rPr>
        <w:t>《进料加工业务免抵退税核销表》“应调整免抵退税额合计”填写。</w:t>
      </w:r>
    </w:p>
    <w:p>
      <w:pPr>
        <w:spacing w:after="1"/>
        <w:ind w:left="-5" w:hanging="10"/>
      </w:pPr>
      <w:r>
        <w:rPr>
          <w:rFonts w:ascii="宋体" w:hAnsi="宋体" w:eastAsia="宋体" w:cs="宋体"/>
          <w:sz w:val="18"/>
        </w:rPr>
        <w:t>18.第15栏“免抵退税额合计”：按“第10栏-第13栏+第14栏”计算填写，当计算结果小于0时按0填写。</w:t>
      </w:r>
    </w:p>
    <w:p>
      <w:pPr>
        <w:spacing w:after="1"/>
        <w:ind w:left="-5" w:hanging="10"/>
      </w:pPr>
      <w:r>
        <w:rPr>
          <w:rFonts w:ascii="宋体" w:hAnsi="宋体" w:eastAsia="宋体" w:cs="宋体"/>
          <w:sz w:val="18"/>
        </w:rPr>
        <w:t>19.第16栏“结转下期需冲减的免抵退税额”：按“第13栏-第10栏-第14栏+第15栏”计算填写。</w:t>
      </w:r>
    </w:p>
    <w:p>
      <w:pPr>
        <w:spacing w:after="1"/>
        <w:ind w:left="-5" w:hanging="10"/>
      </w:pPr>
      <w:r>
        <w:rPr>
          <w:rFonts w:ascii="宋体" w:hAnsi="宋体" w:eastAsia="宋体" w:cs="宋体"/>
          <w:sz w:val="18"/>
        </w:rPr>
        <w:t>20.第17栏“增值税纳税申报表期末留抵税额”：按同属期增值税及附加税费申报表“期末留抵税额”填写。一般纳税人转登记为小规模纳税人的，按“应交税费—待抵扣进项税额”据实填写。</w:t>
      </w:r>
    </w:p>
    <w:p>
      <w:pPr>
        <w:spacing w:after="1"/>
        <w:ind w:left="-5" w:hanging="10"/>
      </w:pPr>
      <w:r>
        <w:rPr>
          <w:rFonts w:ascii="宋体" w:hAnsi="宋体" w:eastAsia="宋体" w:cs="宋体"/>
          <w:sz w:val="18"/>
        </w:rPr>
        <w:t>21.第18栏“应退税额”：如第15栏&gt;第17栏，则等于第17栏，否则等于第15栏。</w:t>
      </w:r>
    </w:p>
    <w:p>
      <w:pPr>
        <w:spacing w:after="1"/>
        <w:ind w:left="-5" w:hanging="10"/>
      </w:pPr>
      <w:r>
        <w:rPr>
          <w:rFonts w:ascii="宋体" w:hAnsi="宋体" w:eastAsia="宋体" w:cs="宋体"/>
          <w:sz w:val="18"/>
        </w:rPr>
        <w:t>22.第19栏“免抵税额”：按“第15栏-第18栏”计算填写。</w:t>
      </w:r>
    </w:p>
    <w:p>
      <w:pPr>
        <w:spacing w:after="1"/>
        <w:ind w:left="-5" w:hanging="10"/>
      </w:pPr>
      <w:r>
        <w:rPr>
          <w:rFonts w:ascii="宋体" w:hAnsi="宋体" w:eastAsia="宋体" w:cs="宋体"/>
          <w:sz w:val="18"/>
        </w:rPr>
        <w:t>23.第(b)列“本年累计”：按对应栏次的本年累计数填写。</w:t>
      </w:r>
    </w:p>
    <w:p>
      <w:pPr>
        <w:sectPr>
          <w:headerReference r:id="rId7" w:type="first"/>
          <w:footerReference r:id="rId10" w:type="first"/>
          <w:headerReference r:id="rId5" w:type="default"/>
          <w:footerReference r:id="rId8" w:type="default"/>
          <w:headerReference r:id="rId6" w:type="even"/>
          <w:footerReference r:id="rId9" w:type="even"/>
          <w:pgSz w:w="11905" w:h="16837"/>
          <w:pgMar w:top="1492" w:right="1126" w:bottom="1861" w:left="1124" w:header="720" w:footer="446"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2"/>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2"/>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2"/>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65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2026-02-11T03:17:41Z</dcterms:created>
  <dc:creator>fzr</dc:creator>
  <cp:lastModifiedBy>fzr</cp:lastModifiedBy>
  <dcterms:modified xsi:type="dcterms:W3CDTF">2026-02-11T03:17:55Z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