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43" w:tblpY="3798"/>
        <w:tblOverlap w:val="never"/>
        <w:tblW w:w="16202" w:type="dxa"/>
        <w:tblInd w:w="0" w:type="dxa"/>
        <w:tblLayout w:type="autofit"/>
        <w:tblCellMar>
          <w:top w:w="0" w:type="dxa"/>
          <w:left w:w="37" w:type="dxa"/>
          <w:bottom w:w="10" w:type="dxa"/>
          <w:right w:w="23" w:type="dxa"/>
        </w:tblCellMar>
      </w:tblPr>
      <w:tblGrid>
        <w:gridCol w:w="470"/>
        <w:gridCol w:w="977"/>
        <w:gridCol w:w="876"/>
        <w:gridCol w:w="612"/>
        <w:gridCol w:w="667"/>
        <w:gridCol w:w="638"/>
        <w:gridCol w:w="725"/>
        <w:gridCol w:w="638"/>
        <w:gridCol w:w="555"/>
        <w:gridCol w:w="1034"/>
        <w:gridCol w:w="725"/>
        <w:gridCol w:w="809"/>
        <w:gridCol w:w="922"/>
        <w:gridCol w:w="480"/>
        <w:gridCol w:w="516"/>
        <w:gridCol w:w="1524"/>
        <w:gridCol w:w="1063"/>
        <w:gridCol w:w="1015"/>
        <w:gridCol w:w="480"/>
        <w:gridCol w:w="809"/>
        <w:gridCol w:w="667"/>
      </w:tblGrid>
      <w:tr>
        <w:tblPrEx>
          <w:tblCellMar>
            <w:top w:w="0" w:type="dxa"/>
            <w:left w:w="37" w:type="dxa"/>
            <w:bottom w:w="10" w:type="dxa"/>
            <w:right w:w="23" w:type="dxa"/>
          </w:tblCellMar>
        </w:tblPrEx>
        <w:trPr>
          <w:trHeight w:val="658" w:hRule="atLeast"/>
        </w:trPr>
        <w:tc>
          <w:tcPr>
            <w:tcW w:w="470"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19"/>
              <w:jc w:val="both"/>
              <w:rPr>
                <w:rFonts w:ascii="宋体" w:hAnsi="宋体" w:eastAsia="宋体" w:cs="宋体"/>
                <w:sz w:val="19"/>
              </w:rPr>
            </w:pPr>
            <w:r>
              <w:rPr>
                <w:rFonts w:ascii="宋体" w:hAnsi="宋体" w:eastAsia="宋体" w:cs="宋体"/>
                <w:sz w:val="19"/>
              </w:rPr>
              <w:t>序</w:t>
            </w:r>
          </w:p>
          <w:p>
            <w:pPr>
              <w:spacing w:after="0"/>
              <w:ind w:left="19"/>
              <w:jc w:val="both"/>
            </w:pPr>
            <w:r>
              <w:rPr>
                <w:rFonts w:ascii="宋体" w:hAnsi="宋体" w:eastAsia="宋体" w:cs="宋体"/>
                <w:sz w:val="19"/>
              </w:rPr>
              <w:t>号</w:t>
            </w:r>
          </w:p>
        </w:tc>
        <w:tc>
          <w:tcPr>
            <w:tcW w:w="977"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跨境销售服务及无形资产名称</w:t>
            </w:r>
          </w:p>
        </w:tc>
        <w:tc>
          <w:tcPr>
            <w:tcW w:w="87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跨境销售服务及无形资产代码</w:t>
            </w:r>
          </w:p>
        </w:tc>
        <w:tc>
          <w:tcPr>
            <w:tcW w:w="612"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合同号</w:t>
            </w:r>
          </w:p>
        </w:tc>
        <w:tc>
          <w:tcPr>
            <w:tcW w:w="667"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有关证明编号</w:t>
            </w:r>
          </w:p>
        </w:tc>
        <w:tc>
          <w:tcPr>
            <w:tcW w:w="638"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境外单位名称</w:t>
            </w:r>
          </w:p>
        </w:tc>
        <w:tc>
          <w:tcPr>
            <w:tcW w:w="725"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境外单位所在国家或者地区</w:t>
            </w:r>
          </w:p>
        </w:tc>
        <w:tc>
          <w:tcPr>
            <w:tcW w:w="1193" w:type="dxa"/>
            <w:gridSpan w:val="2"/>
            <w:tcBorders>
              <w:top w:val="single" w:color="000000" w:sz="6" w:space="0"/>
              <w:left w:val="single" w:color="000000" w:sz="6" w:space="0"/>
              <w:bottom w:val="single" w:color="000000" w:sz="6" w:space="0"/>
              <w:right w:val="single" w:color="000000" w:sz="6" w:space="0"/>
            </w:tcBorders>
            <w:vAlign w:val="center"/>
          </w:tcPr>
          <w:p>
            <w:pPr>
              <w:spacing w:after="0"/>
              <w:ind w:left="99"/>
              <w:jc w:val="both"/>
            </w:pPr>
            <w:r>
              <w:rPr>
                <w:rFonts w:ascii="宋体" w:hAnsi="宋体" w:eastAsia="宋体" w:cs="宋体"/>
                <w:sz w:val="19"/>
              </w:rPr>
              <w:t>合同总金额</w:t>
            </w:r>
          </w:p>
        </w:tc>
        <w:tc>
          <w:tcPr>
            <w:tcW w:w="1034"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本期确认跨境销售服务及无形资产营业收入人民币金额</w:t>
            </w:r>
          </w:p>
        </w:tc>
        <w:tc>
          <w:tcPr>
            <w:tcW w:w="725" w:type="dxa"/>
            <w:vMerge w:val="restart"/>
            <w:tcBorders>
              <w:top w:val="single" w:color="000000" w:sz="6" w:space="0"/>
              <w:left w:val="single" w:color="000000" w:sz="6" w:space="0"/>
              <w:bottom w:val="single" w:color="000000" w:sz="6" w:space="0"/>
              <w:right w:val="single" w:color="000000" w:sz="6" w:space="0"/>
            </w:tcBorders>
            <w:vAlign w:val="center"/>
          </w:tcPr>
          <w:p>
            <w:pPr>
              <w:spacing w:after="1" w:line="229" w:lineRule="auto"/>
              <w:jc w:val="center"/>
            </w:pPr>
            <w:r>
              <w:rPr>
                <w:rFonts w:ascii="宋体" w:hAnsi="宋体" w:eastAsia="宋体" w:cs="宋体"/>
                <w:sz w:val="19"/>
              </w:rPr>
              <w:t>本期收款金额</w:t>
            </w:r>
          </w:p>
          <w:p>
            <w:pPr>
              <w:spacing w:after="0"/>
              <w:jc w:val="center"/>
            </w:pPr>
            <w:r>
              <w:rPr>
                <w:rFonts w:ascii="宋体" w:hAnsi="宋体" w:eastAsia="宋体" w:cs="宋体"/>
                <w:sz w:val="19"/>
              </w:rPr>
              <w:t>（美元）</w:t>
            </w:r>
          </w:p>
        </w:tc>
        <w:tc>
          <w:tcPr>
            <w:tcW w:w="1730" w:type="dxa"/>
            <w:gridSpan w:val="2"/>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跨境销售服务及无形资产营业额</w:t>
            </w:r>
          </w:p>
        </w:tc>
        <w:tc>
          <w:tcPr>
            <w:tcW w:w="480"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征税率</w:t>
            </w:r>
          </w:p>
        </w:tc>
        <w:tc>
          <w:tcPr>
            <w:tcW w:w="51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退税率</w:t>
            </w:r>
          </w:p>
        </w:tc>
        <w:tc>
          <w:tcPr>
            <w:tcW w:w="1524"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跨境销售服务及无形资产免抵退税计税金额乘征退税率之差</w:t>
            </w:r>
          </w:p>
        </w:tc>
        <w:tc>
          <w:tcPr>
            <w:tcW w:w="1063"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跨境销售服务及无形资产计税金额乘退税率</w:t>
            </w:r>
          </w:p>
        </w:tc>
        <w:tc>
          <w:tcPr>
            <w:tcW w:w="1015"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跨境销售服务及无形资产业务类型</w:t>
            </w:r>
          </w:p>
        </w:tc>
        <w:tc>
          <w:tcPr>
            <w:tcW w:w="480"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出口发票号码</w:t>
            </w:r>
          </w:p>
        </w:tc>
        <w:tc>
          <w:tcPr>
            <w:tcW w:w="809"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出口发票开具日期</w:t>
            </w:r>
          </w:p>
        </w:tc>
        <w:tc>
          <w:tcPr>
            <w:tcW w:w="667"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118"/>
              <w:jc w:val="both"/>
            </w:pPr>
            <w:r>
              <w:rPr>
                <w:rFonts w:ascii="宋体" w:hAnsi="宋体" w:eastAsia="宋体" w:cs="宋体"/>
                <w:sz w:val="19"/>
              </w:rPr>
              <w:t>备注</w:t>
            </w:r>
          </w:p>
        </w:tc>
      </w:tr>
      <w:tr>
        <w:tblPrEx>
          <w:tblCellMar>
            <w:top w:w="0" w:type="dxa"/>
            <w:left w:w="37" w:type="dxa"/>
            <w:bottom w:w="10" w:type="dxa"/>
            <w:right w:w="23" w:type="dxa"/>
          </w:tblCellMar>
        </w:tblPrEx>
        <w:trPr>
          <w:trHeight w:val="1073" w:hRule="atLeast"/>
        </w:trPr>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638" w:type="dxa"/>
            <w:tcBorders>
              <w:top w:val="single" w:color="000000" w:sz="6" w:space="0"/>
              <w:left w:val="single" w:color="000000" w:sz="6" w:space="0"/>
              <w:bottom w:val="single" w:color="000000" w:sz="6" w:space="0"/>
              <w:right w:val="single" w:color="000000" w:sz="6" w:space="0"/>
            </w:tcBorders>
            <w:vAlign w:val="center"/>
          </w:tcPr>
          <w:p>
            <w:pPr>
              <w:spacing w:after="0"/>
              <w:ind w:left="10"/>
              <w:jc w:val="both"/>
            </w:pPr>
            <w:r>
              <w:rPr>
                <w:rFonts w:ascii="宋体" w:hAnsi="宋体" w:eastAsia="宋体" w:cs="宋体"/>
                <w:sz w:val="19"/>
              </w:rPr>
              <w:t>折美元</w:t>
            </w:r>
          </w:p>
        </w:tc>
        <w:tc>
          <w:tcPr>
            <w:tcW w:w="554"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折人民币</w:t>
            </w: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809" w:type="dxa"/>
            <w:tcBorders>
              <w:top w:val="single" w:color="000000" w:sz="6" w:space="0"/>
              <w:left w:val="single" w:color="000000" w:sz="6" w:space="0"/>
              <w:bottom w:val="single" w:color="000000" w:sz="6" w:space="0"/>
              <w:right w:val="single" w:color="000000" w:sz="6" w:space="0"/>
            </w:tcBorders>
            <w:vAlign w:val="center"/>
          </w:tcPr>
          <w:p>
            <w:pPr>
              <w:spacing w:after="0"/>
              <w:jc w:val="both"/>
            </w:pPr>
            <w:r>
              <w:rPr>
                <w:rFonts w:ascii="宋体" w:hAnsi="宋体" w:eastAsia="宋体" w:cs="宋体"/>
                <w:sz w:val="19"/>
              </w:rPr>
              <w:t>折人民币</w:t>
            </w:r>
          </w:p>
        </w:tc>
        <w:tc>
          <w:tcPr>
            <w:tcW w:w="922"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19"/>
              </w:rPr>
              <w:t>免抵退税计税金额</w:t>
            </w: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r>
      <w:tr>
        <w:tblPrEx>
          <w:tblCellMar>
            <w:top w:w="0" w:type="dxa"/>
            <w:left w:w="37" w:type="dxa"/>
            <w:bottom w:w="10" w:type="dxa"/>
            <w:right w:w="23" w:type="dxa"/>
          </w:tblCellMar>
        </w:tblPrEx>
        <w:trPr>
          <w:trHeight w:val="586" w:hRule="atLeast"/>
        </w:trPr>
        <w:tc>
          <w:tcPr>
            <w:tcW w:w="470"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19"/>
              </w:rPr>
              <w:t>1</w:t>
            </w:r>
          </w:p>
        </w:tc>
        <w:tc>
          <w:tcPr>
            <w:tcW w:w="977"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Times New Roman" w:hAnsi="Times New Roman" w:eastAsia="Times New Roman" w:cs="Times New Roman"/>
                <w:sz w:val="19"/>
              </w:rPr>
              <w:t>2</w:t>
            </w:r>
          </w:p>
        </w:tc>
        <w:tc>
          <w:tcPr>
            <w:tcW w:w="876" w:type="dxa"/>
            <w:tcBorders>
              <w:top w:val="single" w:color="000000" w:sz="6" w:space="0"/>
              <w:left w:val="single" w:color="000000" w:sz="6" w:space="0"/>
              <w:bottom w:val="single" w:color="000000" w:sz="6" w:space="0"/>
              <w:right w:val="single" w:color="000000" w:sz="6" w:space="0"/>
            </w:tcBorders>
            <w:vAlign w:val="center"/>
          </w:tcPr>
          <w:p>
            <w:pPr>
              <w:spacing w:after="0"/>
              <w:ind w:left="3"/>
              <w:jc w:val="center"/>
            </w:pPr>
            <w:r>
              <w:rPr>
                <w:rFonts w:ascii="Times New Roman" w:hAnsi="Times New Roman" w:eastAsia="Times New Roman" w:cs="Times New Roman"/>
                <w:sz w:val="19"/>
              </w:rPr>
              <w:t>3</w:t>
            </w:r>
          </w:p>
        </w:tc>
        <w:tc>
          <w:tcPr>
            <w:tcW w:w="612" w:type="dxa"/>
            <w:tcBorders>
              <w:top w:val="single" w:color="000000" w:sz="6" w:space="0"/>
              <w:left w:val="single" w:color="000000" w:sz="6" w:space="0"/>
              <w:bottom w:val="single" w:color="000000" w:sz="6" w:space="0"/>
              <w:right w:val="single" w:color="000000" w:sz="6" w:space="0"/>
            </w:tcBorders>
            <w:vAlign w:val="center"/>
          </w:tcPr>
          <w:p>
            <w:pPr>
              <w:spacing w:after="0"/>
              <w:ind w:right="2"/>
              <w:jc w:val="center"/>
            </w:pPr>
            <w:r>
              <w:rPr>
                <w:rFonts w:ascii="Times New Roman" w:hAnsi="Times New Roman" w:eastAsia="Times New Roman" w:cs="Times New Roman"/>
                <w:sz w:val="19"/>
              </w:rPr>
              <w:t>4</w:t>
            </w:r>
          </w:p>
        </w:tc>
        <w:tc>
          <w:tcPr>
            <w:tcW w:w="667" w:type="dxa"/>
            <w:tcBorders>
              <w:top w:val="single" w:color="000000" w:sz="6" w:space="0"/>
              <w:left w:val="single" w:color="000000" w:sz="6" w:space="0"/>
              <w:bottom w:val="single" w:color="000000" w:sz="6" w:space="0"/>
              <w:right w:val="single" w:color="000000" w:sz="6" w:space="0"/>
            </w:tcBorders>
            <w:vAlign w:val="center"/>
          </w:tcPr>
          <w:p>
            <w:pPr>
              <w:spacing w:after="0"/>
              <w:ind w:left="1"/>
              <w:jc w:val="center"/>
            </w:pPr>
            <w:r>
              <w:rPr>
                <w:rFonts w:ascii="Times New Roman" w:hAnsi="Times New Roman" w:eastAsia="Times New Roman" w:cs="Times New Roman"/>
                <w:sz w:val="19"/>
              </w:rPr>
              <w:t>5</w:t>
            </w:r>
          </w:p>
        </w:tc>
        <w:tc>
          <w:tcPr>
            <w:tcW w:w="638"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19"/>
              </w:rPr>
              <w:t>6</w:t>
            </w:r>
          </w:p>
        </w:tc>
        <w:tc>
          <w:tcPr>
            <w:tcW w:w="725"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19"/>
              </w:rPr>
              <w:t>7</w:t>
            </w:r>
          </w:p>
        </w:tc>
        <w:tc>
          <w:tcPr>
            <w:tcW w:w="638"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19"/>
              </w:rPr>
              <w:t>8</w:t>
            </w:r>
          </w:p>
        </w:tc>
        <w:tc>
          <w:tcPr>
            <w:tcW w:w="554" w:type="dxa"/>
            <w:tcBorders>
              <w:top w:val="single" w:color="000000" w:sz="6" w:space="0"/>
              <w:left w:val="single" w:color="000000" w:sz="6" w:space="0"/>
              <w:bottom w:val="single" w:color="000000" w:sz="6" w:space="0"/>
              <w:right w:val="single" w:color="000000" w:sz="6" w:space="0"/>
            </w:tcBorders>
            <w:vAlign w:val="center"/>
          </w:tcPr>
          <w:p>
            <w:pPr>
              <w:spacing w:after="0"/>
              <w:ind w:left="3"/>
              <w:jc w:val="center"/>
            </w:pPr>
            <w:r>
              <w:rPr>
                <w:rFonts w:ascii="Times New Roman" w:hAnsi="Times New Roman" w:eastAsia="Times New Roman" w:cs="Times New Roman"/>
                <w:sz w:val="19"/>
              </w:rPr>
              <w:t>9</w:t>
            </w:r>
          </w:p>
        </w:tc>
        <w:tc>
          <w:tcPr>
            <w:tcW w:w="1034"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19"/>
              </w:rPr>
              <w:t>10</w:t>
            </w:r>
          </w:p>
        </w:tc>
        <w:tc>
          <w:tcPr>
            <w:tcW w:w="725"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19"/>
              </w:rPr>
              <w:t>11</w:t>
            </w:r>
          </w:p>
        </w:tc>
        <w:tc>
          <w:tcPr>
            <w:tcW w:w="809" w:type="dxa"/>
            <w:tcBorders>
              <w:top w:val="single" w:color="000000" w:sz="6" w:space="0"/>
              <w:left w:val="single" w:color="000000" w:sz="6" w:space="0"/>
              <w:bottom w:val="single" w:color="000000" w:sz="6" w:space="0"/>
              <w:right w:val="single" w:color="000000" w:sz="6" w:space="0"/>
            </w:tcBorders>
            <w:vAlign w:val="center"/>
          </w:tcPr>
          <w:p>
            <w:pPr>
              <w:spacing w:after="0"/>
              <w:ind w:left="3"/>
              <w:jc w:val="center"/>
            </w:pPr>
            <w:r>
              <w:rPr>
                <w:rFonts w:ascii="Times New Roman" w:hAnsi="Times New Roman" w:eastAsia="Times New Roman" w:cs="Times New Roman"/>
                <w:sz w:val="19"/>
              </w:rPr>
              <w:t>12</w:t>
            </w:r>
          </w:p>
        </w:tc>
        <w:tc>
          <w:tcPr>
            <w:tcW w:w="922" w:type="dxa"/>
            <w:tcBorders>
              <w:top w:val="single" w:color="000000" w:sz="6" w:space="0"/>
              <w:left w:val="single" w:color="000000" w:sz="6" w:space="0"/>
              <w:bottom w:val="single" w:color="000000" w:sz="6" w:space="0"/>
              <w:right w:val="single" w:color="000000" w:sz="6" w:space="0"/>
            </w:tcBorders>
            <w:vAlign w:val="center"/>
          </w:tcPr>
          <w:p>
            <w:pPr>
              <w:spacing w:after="0"/>
              <w:ind w:right="3"/>
              <w:jc w:val="center"/>
            </w:pPr>
            <w:r>
              <w:rPr>
                <w:rFonts w:ascii="Times New Roman" w:hAnsi="Times New Roman" w:eastAsia="Times New Roman" w:cs="Times New Roman"/>
                <w:sz w:val="19"/>
              </w:rPr>
              <w:t>13=12</w:t>
            </w:r>
          </w:p>
        </w:tc>
        <w:tc>
          <w:tcPr>
            <w:tcW w:w="480" w:type="dxa"/>
            <w:tcBorders>
              <w:top w:val="single" w:color="000000" w:sz="6" w:space="0"/>
              <w:left w:val="single" w:color="000000" w:sz="6" w:space="0"/>
              <w:bottom w:val="single" w:color="000000" w:sz="6" w:space="0"/>
              <w:right w:val="single" w:color="000000" w:sz="6" w:space="0"/>
            </w:tcBorders>
            <w:vAlign w:val="center"/>
          </w:tcPr>
          <w:p>
            <w:pPr>
              <w:spacing w:after="0"/>
              <w:ind w:left="115"/>
            </w:pPr>
            <w:r>
              <w:rPr>
                <w:rFonts w:ascii="Times New Roman" w:hAnsi="Times New Roman" w:eastAsia="Times New Roman" w:cs="Times New Roman"/>
                <w:sz w:val="19"/>
              </w:rPr>
              <w:t>14</w:t>
            </w:r>
          </w:p>
        </w:tc>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34"/>
            </w:pPr>
            <w:r>
              <w:rPr>
                <w:rFonts w:ascii="Times New Roman" w:hAnsi="Times New Roman" w:eastAsia="Times New Roman" w:cs="Times New Roman"/>
                <w:sz w:val="19"/>
              </w:rPr>
              <w:t>15</w:t>
            </w:r>
          </w:p>
        </w:tc>
        <w:tc>
          <w:tcPr>
            <w:tcW w:w="1524" w:type="dxa"/>
            <w:tcBorders>
              <w:top w:val="single" w:color="000000" w:sz="6" w:space="0"/>
              <w:left w:val="single" w:color="000000" w:sz="6" w:space="0"/>
              <w:bottom w:val="single" w:color="000000" w:sz="6" w:space="0"/>
              <w:right w:val="single" w:color="000000" w:sz="6" w:space="0"/>
            </w:tcBorders>
            <w:vAlign w:val="center"/>
          </w:tcPr>
          <w:p>
            <w:pPr>
              <w:spacing w:after="0"/>
              <w:ind w:left="29"/>
              <w:jc w:val="both"/>
            </w:pPr>
            <w:r>
              <w:rPr>
                <w:rFonts w:ascii="Times New Roman" w:hAnsi="Times New Roman" w:eastAsia="Times New Roman" w:cs="Times New Roman"/>
                <w:sz w:val="19"/>
              </w:rPr>
              <w:t>16=13×</w:t>
            </w:r>
            <w:r>
              <w:rPr>
                <w:rFonts w:ascii="宋体" w:hAnsi="宋体" w:eastAsia="宋体" w:cs="宋体"/>
                <w:sz w:val="19"/>
              </w:rPr>
              <w:t>（</w:t>
            </w:r>
            <w:r>
              <w:rPr>
                <w:rFonts w:ascii="Times New Roman" w:hAnsi="Times New Roman" w:eastAsia="Times New Roman" w:cs="Times New Roman"/>
                <w:sz w:val="19"/>
              </w:rPr>
              <w:t>14-15</w:t>
            </w:r>
            <w:r>
              <w:rPr>
                <w:rFonts w:ascii="宋体" w:hAnsi="宋体" w:eastAsia="宋体" w:cs="宋体"/>
                <w:sz w:val="19"/>
              </w:rPr>
              <w:t>）</w:t>
            </w:r>
          </w:p>
        </w:tc>
        <w:tc>
          <w:tcPr>
            <w:tcW w:w="1063" w:type="dxa"/>
            <w:tcBorders>
              <w:top w:val="single" w:color="000000" w:sz="6" w:space="0"/>
              <w:left w:val="single" w:color="000000" w:sz="6" w:space="0"/>
              <w:bottom w:val="single" w:color="000000" w:sz="6" w:space="0"/>
              <w:right w:val="single" w:color="000000" w:sz="6" w:space="0"/>
            </w:tcBorders>
            <w:vAlign w:val="center"/>
          </w:tcPr>
          <w:p>
            <w:pPr>
              <w:spacing w:after="0"/>
              <w:ind w:left="111"/>
            </w:pPr>
            <w:r>
              <w:rPr>
                <w:rFonts w:ascii="Times New Roman" w:hAnsi="Times New Roman" w:eastAsia="Times New Roman" w:cs="Times New Roman"/>
                <w:sz w:val="19"/>
              </w:rPr>
              <w:t>17=13×15</w:t>
            </w:r>
          </w:p>
        </w:tc>
        <w:tc>
          <w:tcPr>
            <w:tcW w:w="1015"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19"/>
              </w:rPr>
              <w:t>18</w:t>
            </w:r>
          </w:p>
        </w:tc>
        <w:tc>
          <w:tcPr>
            <w:tcW w:w="480" w:type="dxa"/>
            <w:tcBorders>
              <w:top w:val="single" w:color="000000" w:sz="6" w:space="0"/>
              <w:left w:val="single" w:color="000000" w:sz="6" w:space="0"/>
              <w:bottom w:val="single" w:color="000000" w:sz="6" w:space="0"/>
              <w:right w:val="single" w:color="000000" w:sz="6" w:space="0"/>
            </w:tcBorders>
            <w:vAlign w:val="center"/>
          </w:tcPr>
          <w:p>
            <w:pPr>
              <w:spacing w:after="0"/>
              <w:ind w:left="115"/>
            </w:pPr>
            <w:r>
              <w:rPr>
                <w:rFonts w:ascii="Times New Roman" w:hAnsi="Times New Roman" w:eastAsia="Times New Roman" w:cs="Times New Roman"/>
                <w:sz w:val="19"/>
              </w:rPr>
              <w:t>19</w:t>
            </w:r>
          </w:p>
        </w:tc>
        <w:tc>
          <w:tcPr>
            <w:tcW w:w="809"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19"/>
              </w:rPr>
              <w:t>20</w:t>
            </w:r>
          </w:p>
        </w:tc>
        <w:tc>
          <w:tcPr>
            <w:tcW w:w="667"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19"/>
              </w:rPr>
              <w:t>21</w:t>
            </w:r>
          </w:p>
        </w:tc>
      </w:tr>
      <w:tr>
        <w:tblPrEx>
          <w:tblCellMar>
            <w:top w:w="0" w:type="dxa"/>
            <w:left w:w="37" w:type="dxa"/>
            <w:bottom w:w="10" w:type="dxa"/>
            <w:right w:w="23" w:type="dxa"/>
          </w:tblCellMar>
        </w:tblPrEx>
        <w:trPr>
          <w:trHeight w:val="586" w:hRule="atLeast"/>
        </w:trPr>
        <w:tc>
          <w:tcPr>
            <w:tcW w:w="470" w:type="dxa"/>
            <w:tcBorders>
              <w:top w:val="single" w:color="000000" w:sz="6" w:space="0"/>
              <w:left w:val="single" w:color="000000" w:sz="6" w:space="0"/>
              <w:bottom w:val="single" w:color="000000" w:sz="6" w:space="0"/>
              <w:right w:val="single" w:color="000000" w:sz="6" w:space="0"/>
            </w:tcBorders>
          </w:tcPr>
          <w:p>
            <w:pPr>
              <w:spacing w:after="0"/>
            </w:pPr>
          </w:p>
        </w:tc>
        <w:tc>
          <w:tcPr>
            <w:tcW w:w="977" w:type="dxa"/>
            <w:tcBorders>
              <w:top w:val="single" w:color="000000" w:sz="6" w:space="0"/>
              <w:left w:val="single" w:color="000000" w:sz="6" w:space="0"/>
              <w:bottom w:val="single" w:color="000000" w:sz="6" w:space="0"/>
              <w:right w:val="single" w:color="000000" w:sz="6" w:space="0"/>
            </w:tcBorders>
          </w:tcPr>
          <w:p>
            <w:pPr>
              <w:spacing w:after="0"/>
            </w:pPr>
          </w:p>
        </w:tc>
        <w:tc>
          <w:tcPr>
            <w:tcW w:w="876" w:type="dxa"/>
            <w:tcBorders>
              <w:top w:val="single" w:color="000000" w:sz="6" w:space="0"/>
              <w:left w:val="single" w:color="000000" w:sz="6" w:space="0"/>
              <w:bottom w:val="single" w:color="000000" w:sz="6" w:space="0"/>
              <w:right w:val="single" w:color="000000" w:sz="6" w:space="0"/>
            </w:tcBorders>
          </w:tcPr>
          <w:p>
            <w:pPr>
              <w:spacing w:after="0"/>
            </w:pPr>
          </w:p>
        </w:tc>
        <w:tc>
          <w:tcPr>
            <w:tcW w:w="612" w:type="dxa"/>
            <w:tcBorders>
              <w:top w:val="single" w:color="000000" w:sz="6" w:space="0"/>
              <w:left w:val="single" w:color="000000" w:sz="6" w:space="0"/>
              <w:bottom w:val="single" w:color="000000" w:sz="6" w:space="0"/>
              <w:right w:val="single" w:color="000000" w:sz="6" w:space="0"/>
            </w:tcBorders>
          </w:tcPr>
          <w:p>
            <w:pPr>
              <w:spacing w:after="0"/>
            </w:pPr>
          </w:p>
        </w:tc>
        <w:tc>
          <w:tcPr>
            <w:tcW w:w="667" w:type="dxa"/>
            <w:tcBorders>
              <w:top w:val="single" w:color="000000" w:sz="6" w:space="0"/>
              <w:left w:val="single" w:color="000000" w:sz="6" w:space="0"/>
              <w:bottom w:val="single" w:color="000000" w:sz="6" w:space="0"/>
              <w:right w:val="single" w:color="000000" w:sz="6" w:space="0"/>
            </w:tcBorders>
          </w:tcPr>
          <w:p>
            <w:pPr>
              <w:spacing w:after="0"/>
            </w:pPr>
          </w:p>
        </w:tc>
        <w:tc>
          <w:tcPr>
            <w:tcW w:w="638" w:type="dxa"/>
            <w:tcBorders>
              <w:top w:val="single" w:color="000000" w:sz="6" w:space="0"/>
              <w:left w:val="single" w:color="000000" w:sz="6" w:space="0"/>
              <w:bottom w:val="single" w:color="000000" w:sz="6" w:space="0"/>
              <w:right w:val="single" w:color="000000" w:sz="6" w:space="0"/>
            </w:tcBorders>
          </w:tcPr>
          <w:p>
            <w:pPr>
              <w:spacing w:after="0"/>
            </w:pPr>
          </w:p>
        </w:tc>
        <w:tc>
          <w:tcPr>
            <w:tcW w:w="725" w:type="dxa"/>
            <w:tcBorders>
              <w:top w:val="single" w:color="000000" w:sz="6" w:space="0"/>
              <w:left w:val="single" w:color="000000" w:sz="6" w:space="0"/>
              <w:bottom w:val="single" w:color="000000" w:sz="6" w:space="0"/>
              <w:right w:val="single" w:color="000000" w:sz="6" w:space="0"/>
            </w:tcBorders>
          </w:tcPr>
          <w:p>
            <w:pPr>
              <w:spacing w:after="0"/>
            </w:pPr>
          </w:p>
        </w:tc>
        <w:tc>
          <w:tcPr>
            <w:tcW w:w="638"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1034" w:type="dxa"/>
            <w:tcBorders>
              <w:top w:val="single" w:color="000000" w:sz="6" w:space="0"/>
              <w:left w:val="single" w:color="000000" w:sz="6" w:space="0"/>
              <w:bottom w:val="single" w:color="000000" w:sz="6" w:space="0"/>
              <w:right w:val="single" w:color="000000" w:sz="6" w:space="0"/>
            </w:tcBorders>
          </w:tcPr>
          <w:p>
            <w:pPr>
              <w:spacing w:after="0"/>
            </w:pPr>
          </w:p>
        </w:tc>
        <w:tc>
          <w:tcPr>
            <w:tcW w:w="725" w:type="dxa"/>
            <w:tcBorders>
              <w:top w:val="single" w:color="000000" w:sz="6" w:space="0"/>
              <w:left w:val="single" w:color="000000" w:sz="6" w:space="0"/>
              <w:bottom w:val="single" w:color="000000" w:sz="6" w:space="0"/>
              <w:right w:val="single" w:color="000000" w:sz="6" w:space="0"/>
            </w:tcBorders>
          </w:tcPr>
          <w:p>
            <w:pPr>
              <w:spacing w:after="0"/>
            </w:pPr>
          </w:p>
        </w:tc>
        <w:tc>
          <w:tcPr>
            <w:tcW w:w="809" w:type="dxa"/>
            <w:tcBorders>
              <w:top w:val="single" w:color="000000" w:sz="6" w:space="0"/>
              <w:left w:val="single" w:color="000000" w:sz="6" w:space="0"/>
              <w:bottom w:val="single" w:color="000000" w:sz="6" w:space="0"/>
              <w:right w:val="single" w:color="000000" w:sz="6" w:space="0"/>
            </w:tcBorders>
          </w:tcPr>
          <w:p>
            <w:pPr>
              <w:spacing w:after="0"/>
            </w:pPr>
          </w:p>
        </w:tc>
        <w:tc>
          <w:tcPr>
            <w:tcW w:w="922" w:type="dxa"/>
            <w:tcBorders>
              <w:top w:val="single" w:color="000000" w:sz="6" w:space="0"/>
              <w:left w:val="single" w:color="000000" w:sz="6" w:space="0"/>
              <w:bottom w:val="single" w:color="000000" w:sz="6" w:space="0"/>
              <w:right w:val="single" w:color="000000" w:sz="6" w:space="0"/>
            </w:tcBorders>
          </w:tcPr>
          <w:p>
            <w:pPr>
              <w:spacing w:after="0"/>
            </w:pPr>
          </w:p>
        </w:tc>
        <w:tc>
          <w:tcPr>
            <w:tcW w:w="480" w:type="dxa"/>
            <w:tcBorders>
              <w:top w:val="single" w:color="000000" w:sz="6" w:space="0"/>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tcPr>
          <w:p>
            <w:pPr>
              <w:spacing w:after="0"/>
            </w:pPr>
          </w:p>
        </w:tc>
        <w:tc>
          <w:tcPr>
            <w:tcW w:w="1524" w:type="dxa"/>
            <w:tcBorders>
              <w:top w:val="single" w:color="000000" w:sz="6" w:space="0"/>
              <w:left w:val="single" w:color="000000" w:sz="6" w:space="0"/>
              <w:bottom w:val="single" w:color="000000" w:sz="6" w:space="0"/>
              <w:right w:val="single" w:color="000000" w:sz="6" w:space="0"/>
            </w:tcBorders>
          </w:tcPr>
          <w:p>
            <w:pPr>
              <w:spacing w:after="0"/>
            </w:pPr>
          </w:p>
        </w:tc>
        <w:tc>
          <w:tcPr>
            <w:tcW w:w="1063" w:type="dxa"/>
            <w:tcBorders>
              <w:top w:val="single" w:color="000000" w:sz="6" w:space="0"/>
              <w:left w:val="single" w:color="000000" w:sz="6" w:space="0"/>
              <w:bottom w:val="single" w:color="000000" w:sz="6" w:space="0"/>
              <w:right w:val="single" w:color="000000" w:sz="6" w:space="0"/>
            </w:tcBorders>
          </w:tcPr>
          <w:p>
            <w:pPr>
              <w:spacing w:after="0"/>
            </w:pPr>
          </w:p>
        </w:tc>
        <w:tc>
          <w:tcPr>
            <w:tcW w:w="1015" w:type="dxa"/>
            <w:tcBorders>
              <w:top w:val="single" w:color="000000" w:sz="6" w:space="0"/>
              <w:left w:val="single" w:color="000000" w:sz="6" w:space="0"/>
              <w:bottom w:val="single" w:color="000000" w:sz="6" w:space="0"/>
              <w:right w:val="single" w:color="000000" w:sz="6" w:space="0"/>
            </w:tcBorders>
          </w:tcPr>
          <w:p>
            <w:pPr>
              <w:spacing w:after="0"/>
            </w:pPr>
          </w:p>
        </w:tc>
        <w:tc>
          <w:tcPr>
            <w:tcW w:w="480" w:type="dxa"/>
            <w:tcBorders>
              <w:top w:val="single" w:color="000000" w:sz="6" w:space="0"/>
              <w:left w:val="single" w:color="000000" w:sz="6" w:space="0"/>
              <w:bottom w:val="single" w:color="000000" w:sz="6" w:space="0"/>
              <w:right w:val="single" w:color="000000" w:sz="6" w:space="0"/>
            </w:tcBorders>
          </w:tcPr>
          <w:p>
            <w:pPr>
              <w:spacing w:after="0"/>
            </w:pPr>
          </w:p>
        </w:tc>
        <w:tc>
          <w:tcPr>
            <w:tcW w:w="809" w:type="dxa"/>
            <w:tcBorders>
              <w:top w:val="single" w:color="000000" w:sz="6" w:space="0"/>
              <w:left w:val="single" w:color="000000" w:sz="6" w:space="0"/>
              <w:bottom w:val="single" w:color="000000" w:sz="6" w:space="0"/>
              <w:right w:val="single" w:color="000000" w:sz="6" w:space="0"/>
            </w:tcBorders>
          </w:tcPr>
          <w:p>
            <w:pPr>
              <w:spacing w:after="0"/>
            </w:pPr>
          </w:p>
        </w:tc>
        <w:tc>
          <w:tcPr>
            <w:tcW w:w="667"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0" w:type="dxa"/>
            <w:left w:w="37" w:type="dxa"/>
            <w:bottom w:w="10" w:type="dxa"/>
            <w:right w:w="23" w:type="dxa"/>
          </w:tblCellMar>
        </w:tblPrEx>
        <w:trPr>
          <w:trHeight w:val="586" w:hRule="atLeast"/>
        </w:trPr>
        <w:tc>
          <w:tcPr>
            <w:tcW w:w="470" w:type="dxa"/>
            <w:tcBorders>
              <w:top w:val="single" w:color="000000" w:sz="6" w:space="0"/>
              <w:left w:val="single" w:color="000000" w:sz="6" w:space="0"/>
              <w:bottom w:val="single" w:color="000000" w:sz="6" w:space="0"/>
              <w:right w:val="single" w:color="000000" w:sz="6" w:space="0"/>
            </w:tcBorders>
          </w:tcPr>
          <w:p>
            <w:pPr>
              <w:spacing w:after="0"/>
            </w:pPr>
          </w:p>
        </w:tc>
        <w:tc>
          <w:tcPr>
            <w:tcW w:w="977" w:type="dxa"/>
            <w:tcBorders>
              <w:top w:val="single" w:color="000000" w:sz="6" w:space="0"/>
              <w:left w:val="single" w:color="000000" w:sz="6" w:space="0"/>
              <w:bottom w:val="single" w:color="000000" w:sz="6" w:space="0"/>
              <w:right w:val="single" w:color="000000" w:sz="6" w:space="0"/>
            </w:tcBorders>
          </w:tcPr>
          <w:p>
            <w:pPr>
              <w:spacing w:after="0"/>
            </w:pPr>
          </w:p>
        </w:tc>
        <w:tc>
          <w:tcPr>
            <w:tcW w:w="876" w:type="dxa"/>
            <w:tcBorders>
              <w:top w:val="single" w:color="000000" w:sz="6" w:space="0"/>
              <w:left w:val="single" w:color="000000" w:sz="6" w:space="0"/>
              <w:bottom w:val="single" w:color="000000" w:sz="6" w:space="0"/>
              <w:right w:val="single" w:color="000000" w:sz="6" w:space="0"/>
            </w:tcBorders>
          </w:tcPr>
          <w:p>
            <w:pPr>
              <w:spacing w:after="0"/>
            </w:pPr>
          </w:p>
        </w:tc>
        <w:tc>
          <w:tcPr>
            <w:tcW w:w="612" w:type="dxa"/>
            <w:tcBorders>
              <w:top w:val="single" w:color="000000" w:sz="6" w:space="0"/>
              <w:left w:val="single" w:color="000000" w:sz="6" w:space="0"/>
              <w:bottom w:val="single" w:color="000000" w:sz="6" w:space="0"/>
              <w:right w:val="single" w:color="000000" w:sz="6" w:space="0"/>
            </w:tcBorders>
          </w:tcPr>
          <w:p>
            <w:pPr>
              <w:spacing w:after="0"/>
            </w:pPr>
          </w:p>
        </w:tc>
        <w:tc>
          <w:tcPr>
            <w:tcW w:w="667" w:type="dxa"/>
            <w:tcBorders>
              <w:top w:val="single" w:color="000000" w:sz="6" w:space="0"/>
              <w:left w:val="single" w:color="000000" w:sz="6" w:space="0"/>
              <w:bottom w:val="single" w:color="000000" w:sz="6" w:space="0"/>
              <w:right w:val="single" w:color="000000" w:sz="6" w:space="0"/>
            </w:tcBorders>
          </w:tcPr>
          <w:p>
            <w:pPr>
              <w:spacing w:after="0"/>
            </w:pPr>
          </w:p>
        </w:tc>
        <w:tc>
          <w:tcPr>
            <w:tcW w:w="638" w:type="dxa"/>
            <w:tcBorders>
              <w:top w:val="single" w:color="000000" w:sz="6" w:space="0"/>
              <w:left w:val="single" w:color="000000" w:sz="6" w:space="0"/>
              <w:bottom w:val="single" w:color="000000" w:sz="6" w:space="0"/>
              <w:right w:val="single" w:color="000000" w:sz="6" w:space="0"/>
            </w:tcBorders>
          </w:tcPr>
          <w:p>
            <w:pPr>
              <w:spacing w:after="0"/>
            </w:pPr>
          </w:p>
        </w:tc>
        <w:tc>
          <w:tcPr>
            <w:tcW w:w="725" w:type="dxa"/>
            <w:tcBorders>
              <w:top w:val="single" w:color="000000" w:sz="6" w:space="0"/>
              <w:left w:val="single" w:color="000000" w:sz="6" w:space="0"/>
              <w:bottom w:val="single" w:color="000000" w:sz="6" w:space="0"/>
              <w:right w:val="single" w:color="000000" w:sz="6" w:space="0"/>
            </w:tcBorders>
          </w:tcPr>
          <w:p>
            <w:pPr>
              <w:spacing w:after="0"/>
            </w:pPr>
          </w:p>
        </w:tc>
        <w:tc>
          <w:tcPr>
            <w:tcW w:w="638"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1034" w:type="dxa"/>
            <w:tcBorders>
              <w:top w:val="single" w:color="000000" w:sz="6" w:space="0"/>
              <w:left w:val="single" w:color="000000" w:sz="6" w:space="0"/>
              <w:bottom w:val="single" w:color="000000" w:sz="6" w:space="0"/>
              <w:right w:val="single" w:color="000000" w:sz="6" w:space="0"/>
            </w:tcBorders>
          </w:tcPr>
          <w:p>
            <w:pPr>
              <w:spacing w:after="0"/>
            </w:pPr>
          </w:p>
        </w:tc>
        <w:tc>
          <w:tcPr>
            <w:tcW w:w="725" w:type="dxa"/>
            <w:tcBorders>
              <w:top w:val="single" w:color="000000" w:sz="6" w:space="0"/>
              <w:left w:val="single" w:color="000000" w:sz="6" w:space="0"/>
              <w:bottom w:val="single" w:color="000000" w:sz="6" w:space="0"/>
              <w:right w:val="single" w:color="000000" w:sz="6" w:space="0"/>
            </w:tcBorders>
          </w:tcPr>
          <w:p>
            <w:pPr>
              <w:spacing w:after="0"/>
            </w:pPr>
          </w:p>
        </w:tc>
        <w:tc>
          <w:tcPr>
            <w:tcW w:w="809" w:type="dxa"/>
            <w:tcBorders>
              <w:top w:val="single" w:color="000000" w:sz="6" w:space="0"/>
              <w:left w:val="single" w:color="000000" w:sz="6" w:space="0"/>
              <w:bottom w:val="single" w:color="000000" w:sz="6" w:space="0"/>
              <w:right w:val="single" w:color="000000" w:sz="6" w:space="0"/>
            </w:tcBorders>
          </w:tcPr>
          <w:p>
            <w:pPr>
              <w:spacing w:after="0"/>
            </w:pPr>
          </w:p>
        </w:tc>
        <w:tc>
          <w:tcPr>
            <w:tcW w:w="922" w:type="dxa"/>
            <w:tcBorders>
              <w:top w:val="single" w:color="000000" w:sz="6" w:space="0"/>
              <w:left w:val="single" w:color="000000" w:sz="6" w:space="0"/>
              <w:bottom w:val="single" w:color="000000" w:sz="6" w:space="0"/>
              <w:right w:val="single" w:color="000000" w:sz="6" w:space="0"/>
            </w:tcBorders>
          </w:tcPr>
          <w:p>
            <w:pPr>
              <w:spacing w:after="0"/>
            </w:pPr>
          </w:p>
        </w:tc>
        <w:tc>
          <w:tcPr>
            <w:tcW w:w="480" w:type="dxa"/>
            <w:tcBorders>
              <w:top w:val="single" w:color="000000" w:sz="6" w:space="0"/>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tcPr>
          <w:p>
            <w:pPr>
              <w:spacing w:after="0"/>
            </w:pPr>
          </w:p>
        </w:tc>
        <w:tc>
          <w:tcPr>
            <w:tcW w:w="1524" w:type="dxa"/>
            <w:tcBorders>
              <w:top w:val="single" w:color="000000" w:sz="6" w:space="0"/>
              <w:left w:val="single" w:color="000000" w:sz="6" w:space="0"/>
              <w:bottom w:val="single" w:color="000000" w:sz="6" w:space="0"/>
              <w:right w:val="single" w:color="000000" w:sz="6" w:space="0"/>
            </w:tcBorders>
          </w:tcPr>
          <w:p>
            <w:pPr>
              <w:spacing w:after="0"/>
            </w:pPr>
          </w:p>
        </w:tc>
        <w:tc>
          <w:tcPr>
            <w:tcW w:w="1063" w:type="dxa"/>
            <w:tcBorders>
              <w:top w:val="single" w:color="000000" w:sz="6" w:space="0"/>
              <w:left w:val="single" w:color="000000" w:sz="6" w:space="0"/>
              <w:bottom w:val="single" w:color="000000" w:sz="6" w:space="0"/>
              <w:right w:val="single" w:color="000000" w:sz="6" w:space="0"/>
            </w:tcBorders>
          </w:tcPr>
          <w:p>
            <w:pPr>
              <w:spacing w:after="0"/>
            </w:pPr>
          </w:p>
        </w:tc>
        <w:tc>
          <w:tcPr>
            <w:tcW w:w="1015" w:type="dxa"/>
            <w:tcBorders>
              <w:top w:val="single" w:color="000000" w:sz="6" w:space="0"/>
              <w:left w:val="single" w:color="000000" w:sz="6" w:space="0"/>
              <w:bottom w:val="single" w:color="000000" w:sz="6" w:space="0"/>
              <w:right w:val="single" w:color="000000" w:sz="6" w:space="0"/>
            </w:tcBorders>
          </w:tcPr>
          <w:p>
            <w:pPr>
              <w:spacing w:after="0"/>
            </w:pPr>
          </w:p>
        </w:tc>
        <w:tc>
          <w:tcPr>
            <w:tcW w:w="480" w:type="dxa"/>
            <w:tcBorders>
              <w:top w:val="single" w:color="000000" w:sz="6" w:space="0"/>
              <w:left w:val="single" w:color="000000" w:sz="6" w:space="0"/>
              <w:bottom w:val="single" w:color="000000" w:sz="6" w:space="0"/>
              <w:right w:val="single" w:color="000000" w:sz="6" w:space="0"/>
            </w:tcBorders>
          </w:tcPr>
          <w:p>
            <w:pPr>
              <w:spacing w:after="0"/>
            </w:pPr>
          </w:p>
        </w:tc>
        <w:tc>
          <w:tcPr>
            <w:tcW w:w="809" w:type="dxa"/>
            <w:tcBorders>
              <w:top w:val="single" w:color="000000" w:sz="6" w:space="0"/>
              <w:left w:val="single" w:color="000000" w:sz="6" w:space="0"/>
              <w:bottom w:val="single" w:color="000000" w:sz="6" w:space="0"/>
              <w:right w:val="single" w:color="000000" w:sz="6" w:space="0"/>
            </w:tcBorders>
          </w:tcPr>
          <w:p>
            <w:pPr>
              <w:spacing w:after="0"/>
            </w:pPr>
          </w:p>
        </w:tc>
        <w:tc>
          <w:tcPr>
            <w:tcW w:w="667"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0" w:type="dxa"/>
            <w:left w:w="37" w:type="dxa"/>
            <w:bottom w:w="10" w:type="dxa"/>
            <w:right w:w="23" w:type="dxa"/>
          </w:tblCellMar>
        </w:tblPrEx>
        <w:trPr>
          <w:trHeight w:val="586" w:hRule="atLeast"/>
        </w:trPr>
        <w:tc>
          <w:tcPr>
            <w:tcW w:w="470" w:type="dxa"/>
            <w:tcBorders>
              <w:top w:val="single" w:color="000000" w:sz="6" w:space="0"/>
              <w:left w:val="single" w:color="000000" w:sz="6" w:space="0"/>
              <w:bottom w:val="single" w:color="000000" w:sz="6" w:space="0"/>
              <w:right w:val="single" w:color="000000" w:sz="6" w:space="0"/>
            </w:tcBorders>
            <w:vAlign w:val="bottom"/>
          </w:tcPr>
          <w:p>
            <w:pPr>
              <w:spacing w:after="0"/>
              <w:jc w:val="both"/>
            </w:pPr>
            <w:r>
              <w:rPr>
                <w:rFonts w:ascii="宋体" w:hAnsi="宋体" w:eastAsia="宋体" w:cs="宋体"/>
                <w:sz w:val="19"/>
              </w:rPr>
              <w:t>合计</w:t>
            </w:r>
          </w:p>
        </w:tc>
        <w:tc>
          <w:tcPr>
            <w:tcW w:w="977" w:type="dxa"/>
            <w:tcBorders>
              <w:top w:val="single" w:color="000000" w:sz="6" w:space="0"/>
              <w:left w:val="single" w:color="000000" w:sz="6" w:space="0"/>
              <w:bottom w:val="single" w:color="000000" w:sz="6" w:space="0"/>
              <w:right w:val="single" w:color="000000" w:sz="6" w:space="0"/>
            </w:tcBorders>
            <w:vAlign w:val="bottom"/>
          </w:tcPr>
          <w:p>
            <w:pPr>
              <w:spacing w:after="0"/>
              <w:jc w:val="center"/>
            </w:pPr>
            <w:r>
              <w:rPr>
                <w:rFonts w:ascii="宋体" w:hAnsi="宋体" w:eastAsia="宋体" w:cs="宋体"/>
                <w:sz w:val="19"/>
              </w:rPr>
              <w:t>—</w:t>
            </w:r>
          </w:p>
        </w:tc>
        <w:tc>
          <w:tcPr>
            <w:tcW w:w="876" w:type="dxa"/>
            <w:tcBorders>
              <w:top w:val="single" w:color="000000" w:sz="6" w:space="0"/>
              <w:left w:val="single" w:color="000000" w:sz="6" w:space="0"/>
              <w:bottom w:val="single" w:color="000000" w:sz="6" w:space="0"/>
              <w:right w:val="single" w:color="000000" w:sz="6" w:space="0"/>
            </w:tcBorders>
            <w:vAlign w:val="bottom"/>
          </w:tcPr>
          <w:p>
            <w:pPr>
              <w:spacing w:after="0"/>
              <w:ind w:left="315"/>
            </w:pPr>
            <w:r>
              <w:rPr>
                <w:rFonts w:ascii="宋体" w:hAnsi="宋体" w:eastAsia="宋体" w:cs="宋体"/>
                <w:sz w:val="19"/>
              </w:rPr>
              <w:t>—</w:t>
            </w:r>
          </w:p>
        </w:tc>
        <w:tc>
          <w:tcPr>
            <w:tcW w:w="612" w:type="dxa"/>
            <w:tcBorders>
              <w:top w:val="single" w:color="000000" w:sz="6" w:space="0"/>
              <w:left w:val="single" w:color="000000" w:sz="6" w:space="0"/>
              <w:bottom w:val="single" w:color="000000" w:sz="6" w:space="0"/>
              <w:right w:val="single" w:color="000000" w:sz="6" w:space="0"/>
            </w:tcBorders>
            <w:vAlign w:val="bottom"/>
          </w:tcPr>
          <w:p>
            <w:pPr>
              <w:spacing w:after="0"/>
              <w:ind w:left="182"/>
            </w:pPr>
            <w:r>
              <w:rPr>
                <w:rFonts w:ascii="宋体" w:hAnsi="宋体" w:eastAsia="宋体" w:cs="宋体"/>
                <w:sz w:val="19"/>
              </w:rPr>
              <w:t>—</w:t>
            </w:r>
          </w:p>
        </w:tc>
        <w:tc>
          <w:tcPr>
            <w:tcW w:w="667" w:type="dxa"/>
            <w:tcBorders>
              <w:top w:val="single" w:color="000000" w:sz="6" w:space="0"/>
              <w:left w:val="single" w:color="000000" w:sz="6" w:space="0"/>
              <w:bottom w:val="single" w:color="000000" w:sz="6" w:space="0"/>
              <w:right w:val="single" w:color="000000" w:sz="6" w:space="0"/>
            </w:tcBorders>
            <w:vAlign w:val="bottom"/>
          </w:tcPr>
          <w:p>
            <w:pPr>
              <w:spacing w:after="0"/>
              <w:ind w:left="211"/>
            </w:pPr>
            <w:r>
              <w:rPr>
                <w:rFonts w:ascii="宋体" w:hAnsi="宋体" w:eastAsia="宋体" w:cs="宋体"/>
                <w:sz w:val="19"/>
              </w:rPr>
              <w:t>—</w:t>
            </w:r>
          </w:p>
        </w:tc>
        <w:tc>
          <w:tcPr>
            <w:tcW w:w="638" w:type="dxa"/>
            <w:tcBorders>
              <w:top w:val="single" w:color="000000" w:sz="6" w:space="0"/>
              <w:left w:val="single" w:color="000000" w:sz="6" w:space="0"/>
              <w:bottom w:val="single" w:color="000000" w:sz="6" w:space="0"/>
              <w:right w:val="single" w:color="000000" w:sz="6" w:space="0"/>
            </w:tcBorders>
            <w:vAlign w:val="bottom"/>
          </w:tcPr>
          <w:p>
            <w:pPr>
              <w:spacing w:after="0"/>
              <w:ind w:left="197"/>
            </w:pPr>
            <w:r>
              <w:rPr>
                <w:rFonts w:ascii="宋体" w:hAnsi="宋体" w:eastAsia="宋体" w:cs="宋体"/>
                <w:sz w:val="19"/>
              </w:rPr>
              <w:t>—</w:t>
            </w:r>
          </w:p>
        </w:tc>
        <w:tc>
          <w:tcPr>
            <w:tcW w:w="725" w:type="dxa"/>
            <w:tcBorders>
              <w:top w:val="single" w:color="000000" w:sz="6" w:space="0"/>
              <w:left w:val="single" w:color="000000" w:sz="6" w:space="0"/>
              <w:bottom w:val="single" w:color="000000" w:sz="6" w:space="0"/>
              <w:right w:val="single" w:color="000000" w:sz="6" w:space="0"/>
            </w:tcBorders>
            <w:vAlign w:val="bottom"/>
          </w:tcPr>
          <w:p>
            <w:pPr>
              <w:spacing w:after="0"/>
              <w:ind w:left="241"/>
            </w:pPr>
            <w:r>
              <w:rPr>
                <w:rFonts w:ascii="宋体" w:hAnsi="宋体" w:eastAsia="宋体" w:cs="宋体"/>
                <w:sz w:val="19"/>
              </w:rPr>
              <w:t>—</w:t>
            </w:r>
          </w:p>
        </w:tc>
        <w:tc>
          <w:tcPr>
            <w:tcW w:w="638"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1034" w:type="dxa"/>
            <w:tcBorders>
              <w:top w:val="single" w:color="000000" w:sz="6" w:space="0"/>
              <w:left w:val="single" w:color="000000" w:sz="6" w:space="0"/>
              <w:bottom w:val="single" w:color="000000" w:sz="6" w:space="0"/>
              <w:right w:val="single" w:color="000000" w:sz="6" w:space="0"/>
            </w:tcBorders>
          </w:tcPr>
          <w:p>
            <w:pPr>
              <w:spacing w:after="0"/>
            </w:pPr>
          </w:p>
        </w:tc>
        <w:tc>
          <w:tcPr>
            <w:tcW w:w="725" w:type="dxa"/>
            <w:tcBorders>
              <w:top w:val="single" w:color="000000" w:sz="6" w:space="0"/>
              <w:left w:val="single" w:color="000000" w:sz="6" w:space="0"/>
              <w:bottom w:val="single" w:color="000000" w:sz="6" w:space="0"/>
              <w:right w:val="single" w:color="000000" w:sz="6" w:space="0"/>
            </w:tcBorders>
          </w:tcPr>
          <w:p>
            <w:pPr>
              <w:spacing w:after="0"/>
            </w:pPr>
          </w:p>
        </w:tc>
        <w:tc>
          <w:tcPr>
            <w:tcW w:w="809" w:type="dxa"/>
            <w:tcBorders>
              <w:top w:val="single" w:color="000000" w:sz="6" w:space="0"/>
              <w:left w:val="single" w:color="000000" w:sz="6" w:space="0"/>
              <w:bottom w:val="single" w:color="000000" w:sz="6" w:space="0"/>
              <w:right w:val="single" w:color="000000" w:sz="6" w:space="0"/>
            </w:tcBorders>
          </w:tcPr>
          <w:p>
            <w:pPr>
              <w:spacing w:after="0"/>
            </w:pPr>
          </w:p>
        </w:tc>
        <w:tc>
          <w:tcPr>
            <w:tcW w:w="922" w:type="dxa"/>
            <w:tcBorders>
              <w:top w:val="single" w:color="000000" w:sz="6" w:space="0"/>
              <w:left w:val="single" w:color="000000" w:sz="6" w:space="0"/>
              <w:bottom w:val="single" w:color="000000" w:sz="6" w:space="0"/>
              <w:right w:val="single" w:color="000000" w:sz="6" w:space="0"/>
            </w:tcBorders>
          </w:tcPr>
          <w:p>
            <w:pPr>
              <w:spacing w:after="0"/>
            </w:pPr>
          </w:p>
        </w:tc>
        <w:tc>
          <w:tcPr>
            <w:tcW w:w="480" w:type="dxa"/>
            <w:tcBorders>
              <w:top w:val="single" w:color="000000" w:sz="6" w:space="0"/>
              <w:left w:val="single" w:color="000000" w:sz="6" w:space="0"/>
              <w:bottom w:val="single" w:color="000000" w:sz="6" w:space="0"/>
              <w:right w:val="single" w:color="000000" w:sz="6" w:space="0"/>
            </w:tcBorders>
            <w:vAlign w:val="bottom"/>
          </w:tcPr>
          <w:p>
            <w:pPr>
              <w:spacing w:after="0"/>
              <w:ind w:left="118"/>
              <w:jc w:val="both"/>
            </w:pPr>
            <w:r>
              <w:rPr>
                <w:rFonts w:ascii="宋体" w:hAnsi="宋体" w:eastAsia="宋体" w:cs="宋体"/>
                <w:sz w:val="19"/>
              </w:rPr>
              <w:t>—</w:t>
            </w:r>
          </w:p>
        </w:tc>
        <w:tc>
          <w:tcPr>
            <w:tcW w:w="516" w:type="dxa"/>
            <w:tcBorders>
              <w:top w:val="single" w:color="000000" w:sz="6" w:space="0"/>
              <w:left w:val="single" w:color="000000" w:sz="6" w:space="0"/>
              <w:bottom w:val="single" w:color="000000" w:sz="6" w:space="0"/>
              <w:right w:val="single" w:color="000000" w:sz="6" w:space="0"/>
            </w:tcBorders>
            <w:vAlign w:val="bottom"/>
          </w:tcPr>
          <w:p>
            <w:pPr>
              <w:spacing w:after="0"/>
              <w:ind w:left="134"/>
              <w:jc w:val="both"/>
            </w:pPr>
            <w:r>
              <w:rPr>
                <w:rFonts w:ascii="宋体" w:hAnsi="宋体" w:eastAsia="宋体" w:cs="宋体"/>
                <w:sz w:val="19"/>
              </w:rPr>
              <w:t>—</w:t>
            </w:r>
          </w:p>
        </w:tc>
        <w:tc>
          <w:tcPr>
            <w:tcW w:w="1524" w:type="dxa"/>
            <w:tcBorders>
              <w:top w:val="single" w:color="000000" w:sz="6" w:space="0"/>
              <w:left w:val="single" w:color="000000" w:sz="6" w:space="0"/>
              <w:bottom w:val="single" w:color="000000" w:sz="6" w:space="0"/>
              <w:right w:val="single" w:color="000000" w:sz="6" w:space="0"/>
            </w:tcBorders>
          </w:tcPr>
          <w:p>
            <w:pPr>
              <w:spacing w:after="0"/>
            </w:pPr>
          </w:p>
        </w:tc>
        <w:tc>
          <w:tcPr>
            <w:tcW w:w="1063" w:type="dxa"/>
            <w:tcBorders>
              <w:top w:val="single" w:color="000000" w:sz="6" w:space="0"/>
              <w:left w:val="single" w:color="000000" w:sz="6" w:space="0"/>
              <w:bottom w:val="single" w:color="000000" w:sz="6" w:space="0"/>
              <w:right w:val="single" w:color="000000" w:sz="6" w:space="0"/>
            </w:tcBorders>
          </w:tcPr>
          <w:p>
            <w:pPr>
              <w:spacing w:after="0"/>
            </w:pPr>
          </w:p>
        </w:tc>
        <w:tc>
          <w:tcPr>
            <w:tcW w:w="1015" w:type="dxa"/>
            <w:tcBorders>
              <w:top w:val="single" w:color="000000" w:sz="6" w:space="0"/>
              <w:left w:val="single" w:color="000000" w:sz="6" w:space="0"/>
              <w:bottom w:val="single" w:color="000000" w:sz="6" w:space="0"/>
              <w:right w:val="single" w:color="000000" w:sz="6" w:space="0"/>
            </w:tcBorders>
            <w:vAlign w:val="bottom"/>
          </w:tcPr>
          <w:p>
            <w:pPr>
              <w:spacing w:after="0"/>
              <w:jc w:val="center"/>
            </w:pPr>
            <w:r>
              <w:rPr>
                <w:rFonts w:ascii="宋体" w:hAnsi="宋体" w:eastAsia="宋体" w:cs="宋体"/>
                <w:sz w:val="19"/>
              </w:rPr>
              <w:t>—</w:t>
            </w:r>
          </w:p>
        </w:tc>
        <w:tc>
          <w:tcPr>
            <w:tcW w:w="480" w:type="dxa"/>
            <w:tcBorders>
              <w:top w:val="single" w:color="000000" w:sz="6" w:space="0"/>
              <w:left w:val="single" w:color="000000" w:sz="6" w:space="0"/>
              <w:bottom w:val="single" w:color="000000" w:sz="6" w:space="0"/>
              <w:right w:val="single" w:color="000000" w:sz="6" w:space="0"/>
            </w:tcBorders>
            <w:vAlign w:val="bottom"/>
          </w:tcPr>
          <w:p>
            <w:pPr>
              <w:spacing w:after="0"/>
              <w:ind w:left="118"/>
              <w:jc w:val="both"/>
            </w:pPr>
            <w:r>
              <w:rPr>
                <w:rFonts w:ascii="宋体" w:hAnsi="宋体" w:eastAsia="宋体" w:cs="宋体"/>
                <w:sz w:val="19"/>
              </w:rPr>
              <w:t>—</w:t>
            </w:r>
          </w:p>
        </w:tc>
        <w:tc>
          <w:tcPr>
            <w:tcW w:w="809" w:type="dxa"/>
            <w:tcBorders>
              <w:top w:val="single" w:color="000000" w:sz="6" w:space="0"/>
              <w:left w:val="single" w:color="000000" w:sz="6" w:space="0"/>
              <w:bottom w:val="single" w:color="000000" w:sz="6" w:space="0"/>
              <w:right w:val="single" w:color="000000" w:sz="6" w:space="0"/>
            </w:tcBorders>
            <w:vAlign w:val="bottom"/>
          </w:tcPr>
          <w:p>
            <w:pPr>
              <w:spacing w:after="0"/>
              <w:ind w:left="281"/>
            </w:pPr>
            <w:r>
              <w:rPr>
                <w:rFonts w:ascii="宋体" w:hAnsi="宋体" w:eastAsia="宋体" w:cs="宋体"/>
                <w:sz w:val="19"/>
              </w:rPr>
              <w:t>—</w:t>
            </w:r>
          </w:p>
        </w:tc>
        <w:tc>
          <w:tcPr>
            <w:tcW w:w="667" w:type="dxa"/>
            <w:tcBorders>
              <w:top w:val="single" w:color="000000" w:sz="6" w:space="0"/>
              <w:left w:val="single" w:color="000000" w:sz="6" w:space="0"/>
              <w:bottom w:val="single" w:color="000000" w:sz="6" w:space="0"/>
              <w:right w:val="single" w:color="000000" w:sz="6" w:space="0"/>
            </w:tcBorders>
            <w:vAlign w:val="bottom"/>
          </w:tcPr>
          <w:p>
            <w:pPr>
              <w:spacing w:after="0"/>
              <w:ind w:left="211"/>
            </w:pPr>
            <w:r>
              <w:rPr>
                <w:rFonts w:ascii="宋体" w:hAnsi="宋体" w:eastAsia="宋体" w:cs="宋体"/>
                <w:sz w:val="19"/>
              </w:rPr>
              <w:t>—</w:t>
            </w:r>
          </w:p>
        </w:tc>
      </w:tr>
    </w:tbl>
    <w:p>
      <w:pPr>
        <w:spacing w:after="4" w:line="250" w:lineRule="auto"/>
        <w:ind w:left="-5" w:hanging="10"/>
        <w:rPr>
          <w:rFonts w:ascii="宋体" w:hAnsi="宋体" w:eastAsia="宋体" w:cs="宋体"/>
          <w:sz w:val="23"/>
        </w:rPr>
      </w:pPr>
    </w:p>
    <w:p>
      <w:pPr>
        <w:pStyle w:val="2"/>
        <w:ind w:left="214" w:right="302"/>
        <w:rPr>
          <w:rFonts w:hint="eastAsia"/>
        </w:rPr>
      </w:pPr>
      <w:r>
        <w:rPr>
          <w:sz w:val="34"/>
        </w:rPr>
        <w:t>12.跨境销售服务及无形资产免抵退税申报明细表</w:t>
      </w:r>
    </w:p>
    <w:p>
      <w:pPr>
        <w:spacing w:after="4" w:line="250" w:lineRule="auto"/>
        <w:ind w:left="-5" w:right="11053" w:hanging="10"/>
      </w:pPr>
      <w:r>
        <w:rPr>
          <w:rFonts w:ascii="宋体" w:hAnsi="宋体" w:eastAsia="宋体" w:cs="宋体"/>
          <w:sz w:val="23"/>
        </w:rPr>
        <w:t xml:space="preserve">纳税人识别号（统一社会信用代码）：纳税人名称：  </w:t>
      </w:r>
    </w:p>
    <w:p>
      <w:pPr>
        <w:tabs>
          <w:tab w:val="right" w:pos="16242"/>
        </w:tabs>
        <w:spacing w:after="4" w:line="250" w:lineRule="auto"/>
        <w:ind w:left="-15"/>
      </w:pPr>
      <w:r>
        <w:rPr>
          <w:rFonts w:ascii="宋体" w:hAnsi="宋体" w:eastAsia="宋体" w:cs="宋体"/>
          <w:sz w:val="23"/>
        </w:rPr>
        <w:t>所属期：       年     月</w:t>
      </w:r>
      <w:r>
        <w:rPr>
          <w:rFonts w:ascii="宋体" w:hAnsi="宋体" w:eastAsia="宋体" w:cs="宋体"/>
          <w:sz w:val="23"/>
        </w:rPr>
        <w:tab/>
      </w:r>
      <w:r>
        <w:rPr>
          <w:rFonts w:ascii="宋体" w:hAnsi="宋体" w:eastAsia="宋体" w:cs="宋体"/>
          <w:sz w:val="23"/>
        </w:rPr>
        <w:t>金额单位：元（列至角分）</w:t>
      </w:r>
    </w:p>
    <w:p>
      <w:pPr>
        <w:spacing w:after="4" w:line="250" w:lineRule="auto"/>
        <w:ind w:left="-5" w:hanging="10"/>
        <w:rPr>
          <w:rFonts w:ascii="宋体" w:hAnsi="宋体" w:eastAsia="宋体" w:cs="宋体"/>
          <w:sz w:val="23"/>
        </w:rPr>
      </w:pPr>
      <w:bookmarkStart w:id="0" w:name="_GoBack"/>
      <w:bookmarkEnd w:id="0"/>
    </w:p>
    <w:p>
      <w:pPr>
        <w:spacing w:after="4" w:line="250" w:lineRule="auto"/>
        <w:ind w:left="-5" w:hanging="10"/>
        <w:rPr>
          <w:rFonts w:ascii="宋体" w:hAnsi="宋体" w:eastAsia="宋体" w:cs="宋体"/>
          <w:sz w:val="23"/>
        </w:rPr>
      </w:pPr>
    </w:p>
    <w:p>
      <w:pPr>
        <w:spacing w:after="4" w:line="250" w:lineRule="auto"/>
        <w:ind w:left="-5" w:hanging="10"/>
        <w:rPr>
          <w:rFonts w:ascii="宋体" w:hAnsi="宋体" w:eastAsia="宋体" w:cs="宋体"/>
          <w:sz w:val="23"/>
        </w:rPr>
      </w:pPr>
    </w:p>
    <w:p>
      <w:pPr>
        <w:spacing w:after="4" w:line="250" w:lineRule="auto"/>
        <w:ind w:left="-5" w:hanging="10"/>
        <w:rPr>
          <w:rFonts w:ascii="宋体" w:hAnsi="宋体" w:eastAsia="宋体" w:cs="宋体"/>
          <w:sz w:val="23"/>
        </w:rPr>
      </w:pPr>
    </w:p>
    <w:p>
      <w:pPr>
        <w:spacing w:after="4" w:line="250" w:lineRule="auto"/>
        <w:ind w:left="-5" w:hanging="10"/>
      </w:pPr>
      <w:r>
        <w:rPr>
          <w:rFonts w:ascii="宋体" w:hAnsi="宋体" w:eastAsia="宋体" w:cs="宋体"/>
          <w:sz w:val="23"/>
        </w:rPr>
        <w:t>填表说明：</w:t>
      </w:r>
    </w:p>
    <w:p>
      <w:pPr>
        <w:spacing w:after="4" w:line="250" w:lineRule="auto"/>
        <w:ind w:left="-5" w:hanging="10"/>
      </w:pPr>
      <w:r>
        <w:rPr>
          <w:rFonts w:ascii="宋体" w:hAnsi="宋体" w:eastAsia="宋体" w:cs="宋体"/>
          <w:sz w:val="23"/>
        </w:rPr>
        <w:t>1.“所属期”：按《跨境销售服务及无形资产免抵退税申报明细表》对应的增值税纳税申报表的税款所属年月填写。</w:t>
      </w:r>
    </w:p>
    <w:p>
      <w:pPr>
        <w:spacing w:after="4" w:line="250" w:lineRule="auto"/>
        <w:ind w:left="-5" w:hanging="10"/>
      </w:pPr>
      <w:r>
        <w:rPr>
          <w:rFonts w:ascii="宋体" w:hAnsi="宋体" w:eastAsia="宋体" w:cs="宋体"/>
          <w:sz w:val="23"/>
        </w:rPr>
        <w:t>2.第1栏“序号”：按八位流水号填写，从00000001到99999999。</w:t>
      </w:r>
    </w:p>
    <w:p>
      <w:pPr>
        <w:spacing w:after="4" w:line="250" w:lineRule="auto"/>
        <w:ind w:left="-5" w:hanging="10"/>
      </w:pPr>
      <w:r>
        <w:rPr>
          <w:rFonts w:ascii="宋体" w:hAnsi="宋体" w:eastAsia="宋体" w:cs="宋体"/>
          <w:sz w:val="23"/>
        </w:rPr>
        <w:t>3.第2栏“跨境销售服务及无形资产名称” 、第3栏“跨境销售服务及无形资产代码”：按出口退税率文库中对应的跨境销售服务及无形资产名称和编码填写。</w:t>
      </w:r>
    </w:p>
    <w:p>
      <w:pPr>
        <w:spacing w:after="4" w:line="250" w:lineRule="auto"/>
        <w:ind w:left="-5" w:hanging="10"/>
      </w:pPr>
      <w:r>
        <w:rPr>
          <w:rFonts w:ascii="宋体" w:hAnsi="宋体" w:eastAsia="宋体" w:cs="宋体"/>
          <w:sz w:val="23"/>
        </w:rPr>
        <w:t>4.第4栏“合同号”：按与境外单位签订的提供跨境销售服务及无形资产的合同编号填写。</w:t>
      </w:r>
    </w:p>
    <w:p>
      <w:pPr>
        <w:spacing w:after="4" w:line="250" w:lineRule="auto"/>
        <w:ind w:left="-5" w:hanging="10"/>
      </w:pPr>
      <w:r>
        <w:rPr>
          <w:rFonts w:ascii="宋体" w:hAnsi="宋体" w:eastAsia="宋体" w:cs="宋体"/>
          <w:sz w:val="23"/>
        </w:rPr>
        <w:t>5.第5栏“有关证明编号”：提供电影、电视剧的制作服务的，填写行业主管部门出具的在有效期内的影视制作许可证明的编号；提供电影、电视剧的发行服务的，填写行业主管部门出具的在有效期内的发行版权证明、发行许可证明的编号；提供研发服务、设计服务及转让技术的，填写与发生跨境销售服务及无形资产收入相对应的《技术出口合同登记证》或者《软件出口合同登记证》的编号。</w:t>
      </w:r>
    </w:p>
    <w:p>
      <w:pPr>
        <w:spacing w:after="4" w:line="250" w:lineRule="auto"/>
        <w:ind w:left="-5" w:hanging="10"/>
      </w:pPr>
      <w:r>
        <w:rPr>
          <w:rFonts w:ascii="宋体" w:hAnsi="宋体" w:eastAsia="宋体" w:cs="宋体"/>
          <w:sz w:val="23"/>
        </w:rPr>
        <w:t>6.第6栏“境外单位名称”：按签订跨境销售服务及无形资产合同的境外单位全称填写。</w:t>
      </w:r>
    </w:p>
    <w:p>
      <w:pPr>
        <w:spacing w:after="4" w:line="250" w:lineRule="auto"/>
        <w:ind w:left="-5" w:hanging="10"/>
      </w:pPr>
      <w:r>
        <w:rPr>
          <w:rFonts w:ascii="宋体" w:hAnsi="宋体" w:eastAsia="宋体" w:cs="宋体"/>
          <w:sz w:val="23"/>
        </w:rPr>
        <w:t>7.第7栏“境外单位所在国家或者地区”：按签订跨境销售服务及无形资产合同的境外单位所在的国家或者地区填写。</w:t>
      </w:r>
    </w:p>
    <w:p>
      <w:pPr>
        <w:spacing w:after="4" w:line="250" w:lineRule="auto"/>
        <w:ind w:left="-5" w:hanging="10"/>
      </w:pPr>
      <w:r>
        <w:rPr>
          <w:rFonts w:ascii="宋体" w:hAnsi="宋体" w:eastAsia="宋体" w:cs="宋体"/>
          <w:sz w:val="23"/>
        </w:rPr>
        <w:t>8.第8栏“合同总金额（折美元）”：按与境外单位签订的跨境销售服务及无形资产合同的美元总金额填写，若为其他外币签订合同的折算成美元金额填写。</w:t>
      </w:r>
    </w:p>
    <w:p>
      <w:pPr>
        <w:spacing w:after="4" w:line="250" w:lineRule="auto"/>
        <w:ind w:left="-5" w:hanging="10"/>
      </w:pPr>
      <w:r>
        <w:rPr>
          <w:rFonts w:ascii="宋体" w:hAnsi="宋体" w:eastAsia="宋体" w:cs="宋体"/>
          <w:sz w:val="23"/>
        </w:rPr>
        <w:t>9.第9栏“合同总金额（折人民币）”：按“合同总金额（折美元）”折算的人民币金额填写。</w:t>
      </w:r>
    </w:p>
    <w:p>
      <w:pPr>
        <w:spacing w:after="4" w:line="250" w:lineRule="auto"/>
        <w:ind w:left="-5" w:hanging="10"/>
      </w:pPr>
      <w:r>
        <w:rPr>
          <w:rFonts w:ascii="宋体" w:hAnsi="宋体" w:eastAsia="宋体" w:cs="宋体"/>
          <w:sz w:val="23"/>
        </w:rPr>
        <w:t>10.第10栏“本期确认跨境销售服务及无形资产营业收入人民币金额”：按本期确认跨境销售服务及无形资产营业额的金额填写，以其他币种结算的折算成人民币金额填写。</w:t>
      </w:r>
    </w:p>
    <w:p>
      <w:pPr>
        <w:spacing w:after="4" w:line="250" w:lineRule="auto"/>
        <w:ind w:left="-5" w:hanging="10"/>
      </w:pPr>
      <w:r>
        <w:rPr>
          <w:rFonts w:ascii="宋体" w:hAnsi="宋体" w:eastAsia="宋体" w:cs="宋体"/>
          <w:sz w:val="23"/>
        </w:rPr>
        <w:t>11.第11栏“本期收款金额（美元）”：按本期从签订跨境销售服务及无形资产合同的境外单位收款的美元金额填写，以其他外币成交的折算成美元金额填写。</w:t>
      </w:r>
    </w:p>
    <w:p>
      <w:pPr>
        <w:spacing w:after="4" w:line="250" w:lineRule="auto"/>
        <w:ind w:left="-5" w:hanging="10"/>
      </w:pPr>
      <w:r>
        <w:rPr>
          <w:rFonts w:ascii="宋体" w:hAnsi="宋体" w:eastAsia="宋体" w:cs="宋体"/>
          <w:sz w:val="23"/>
        </w:rPr>
        <w:t>12.第12栏“跨境销售服务及无形资产营业额(折人民币)”：按本期收款的跨境销售服务及无形资产所取得的全部价款的人民币金额填写，以其他币种结算的折算成人民币金额填写。</w:t>
      </w:r>
    </w:p>
    <w:p>
      <w:pPr>
        <w:spacing w:after="4" w:line="250" w:lineRule="auto"/>
        <w:ind w:left="-5" w:hanging="10"/>
      </w:pPr>
      <w:r>
        <w:rPr>
          <w:rFonts w:ascii="宋体" w:hAnsi="宋体" w:eastAsia="宋体" w:cs="宋体"/>
          <w:sz w:val="23"/>
        </w:rPr>
        <w:t>13.第13栏“免抵退税计税金额”：按跨境销售服务及无形资产营业额(折人民币)，即第12栏填写。</w:t>
      </w:r>
    </w:p>
    <w:p>
      <w:pPr>
        <w:spacing w:after="4" w:line="250" w:lineRule="auto"/>
        <w:ind w:left="-5" w:hanging="10"/>
      </w:pPr>
      <w:r>
        <w:rPr>
          <w:rFonts w:ascii="宋体" w:hAnsi="宋体" w:eastAsia="宋体" w:cs="宋体"/>
          <w:sz w:val="23"/>
        </w:rPr>
        <w:t>14.第14栏“征税率”：按境内提供跨境销售服务及无形资产法定增值税税率填写。</w:t>
      </w:r>
    </w:p>
    <w:p>
      <w:pPr>
        <w:spacing w:after="4" w:line="250" w:lineRule="auto"/>
        <w:ind w:left="-5" w:hanging="10"/>
      </w:pPr>
      <w:r>
        <w:rPr>
          <w:rFonts w:ascii="宋体" w:hAnsi="宋体" w:eastAsia="宋体" w:cs="宋体"/>
          <w:sz w:val="23"/>
        </w:rPr>
        <w:t>15.第15栏“退税率”：按跨境销售服务及无形资产在退税率文库中对应的增值税退税率填写，如退税率有特殊规定，按政策规定的退税率填写。</w:t>
      </w:r>
    </w:p>
    <w:p>
      <w:pPr>
        <w:spacing w:after="4" w:line="250" w:lineRule="auto"/>
        <w:ind w:left="-5" w:hanging="10"/>
      </w:pPr>
      <w:r>
        <w:rPr>
          <w:rFonts w:ascii="宋体" w:hAnsi="宋体" w:eastAsia="宋体" w:cs="宋体"/>
          <w:sz w:val="23"/>
        </w:rPr>
        <w:t>16.第16栏“跨境销售服务及无形资产免抵退税计税金额乘征退税率之差”：按“第13栏*(第14栏-第15栏)”计算填写。</w:t>
      </w:r>
    </w:p>
    <w:p>
      <w:pPr>
        <w:spacing w:after="4" w:line="250" w:lineRule="auto"/>
        <w:ind w:left="-5" w:hanging="10"/>
      </w:pPr>
      <w:r>
        <w:rPr>
          <w:rFonts w:ascii="宋体" w:hAnsi="宋体" w:eastAsia="宋体" w:cs="宋体"/>
          <w:sz w:val="23"/>
        </w:rPr>
        <w:t>17.第17栏“跨境销售服务及无形资产免抵退税计税金额乘退税率”：按“第13栏*第15栏”计算填写。</w:t>
      </w:r>
    </w:p>
    <w:p>
      <w:pPr>
        <w:spacing w:after="4" w:line="250" w:lineRule="auto"/>
        <w:ind w:left="-5" w:hanging="10"/>
      </w:pPr>
      <w:r>
        <w:rPr>
          <w:rFonts w:ascii="宋体" w:hAnsi="宋体" w:eastAsia="宋体" w:cs="宋体"/>
          <w:sz w:val="23"/>
        </w:rPr>
        <w:t>18.第18栏“跨境销售服务及无形资产业务类型”：按跨境销售服务及无形资产在《业务类型代码表》中对应的“业务类型代码”填写。</w:t>
      </w:r>
    </w:p>
    <w:p>
      <w:pPr>
        <w:spacing w:after="4" w:line="250" w:lineRule="auto"/>
        <w:ind w:left="-5" w:hanging="10"/>
      </w:pPr>
      <w:r>
        <w:rPr>
          <w:rFonts w:ascii="宋体" w:hAnsi="宋体" w:eastAsia="宋体" w:cs="宋体"/>
          <w:sz w:val="23"/>
        </w:rPr>
        <w:t>19.第19栏“出口发票号码”：按提供跨境销售服务及无形资产所开具的发票号码填写。</w:t>
      </w:r>
    </w:p>
    <w:p>
      <w:pPr>
        <w:spacing w:after="4" w:line="250" w:lineRule="auto"/>
        <w:ind w:left="-5" w:hanging="10"/>
      </w:pPr>
      <w:r>
        <w:rPr>
          <w:rFonts w:ascii="宋体" w:hAnsi="宋体" w:eastAsia="宋体" w:cs="宋体"/>
          <w:sz w:val="23"/>
        </w:rPr>
        <w:t>20.第20栏“出口发票开具日期”：按出口发票开具日期填写。</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0740EE"/>
    <w:rsid w:val="74601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2026-02-11T03:20:00Z</dcterms:created>
  <dc:creator>fzr</dc:creator>
  <cp:lastModifiedBy>fzr</cp:lastModifiedBy>
  <dcterms:modified xsi:type="dcterms:W3CDTF">2026-02-11T03:22:49Z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