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04"/>
        <w:rPr>
          <w:rFonts w:hint="eastAsia"/>
        </w:rPr>
      </w:pPr>
      <w:bookmarkStart w:id="0" w:name="_GoBack"/>
      <w:bookmarkEnd w:id="0"/>
      <w:r>
        <w:rPr>
          <w:sz w:val="32"/>
        </w:rPr>
        <w:t>15.进料加工业务免抵退税核销表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纳税人识别号（统一社会信用代码）：</w:t>
      </w:r>
    </w:p>
    <w:p>
      <w:pPr>
        <w:tabs>
          <w:tab w:val="center" w:pos="1702"/>
          <w:tab w:val="center" w:pos="6742"/>
          <w:tab w:val="center" w:pos="9694"/>
          <w:tab w:val="center" w:pos="13861"/>
        </w:tabs>
        <w:spacing w:after="3" w:line="265" w:lineRule="auto"/>
      </w:pPr>
      <w:r>
        <w:tab/>
      </w:r>
      <w:r>
        <w:rPr>
          <w:rFonts w:ascii="宋体" w:hAnsi="宋体" w:eastAsia="宋体" w:cs="宋体"/>
        </w:rPr>
        <w:t>纳税人名称：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所属期：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批次：</w:t>
      </w:r>
      <w:r>
        <w:rPr>
          <w:rFonts w:ascii="宋体" w:hAnsi="宋体" w:eastAsia="宋体" w:cs="宋体"/>
        </w:rPr>
        <w:tab/>
      </w:r>
      <w:r>
        <w:rPr>
          <w:rFonts w:ascii="宋体" w:hAnsi="宋体" w:eastAsia="宋体" w:cs="宋体"/>
        </w:rPr>
        <w:t>金额单位：元（列至角分）</w:t>
      </w:r>
    </w:p>
    <w:tbl>
      <w:tblPr>
        <w:tblStyle w:val="5"/>
        <w:tblW w:w="14482" w:type="dxa"/>
        <w:tblInd w:w="1020" w:type="dxa"/>
        <w:tblLayout w:type="autofit"/>
        <w:tblCellMar>
          <w:top w:w="18" w:type="dxa"/>
          <w:left w:w="34" w:type="dxa"/>
          <w:bottom w:w="0" w:type="dxa"/>
          <w:right w:w="28" w:type="dxa"/>
        </w:tblCellMar>
      </w:tblPr>
      <w:tblGrid>
        <w:gridCol w:w="989"/>
        <w:gridCol w:w="1999"/>
        <w:gridCol w:w="1070"/>
        <w:gridCol w:w="1054"/>
        <w:gridCol w:w="1205"/>
        <w:gridCol w:w="1450"/>
        <w:gridCol w:w="1800"/>
        <w:gridCol w:w="1944"/>
        <w:gridCol w:w="1279"/>
        <w:gridCol w:w="1692"/>
      </w:tblGrid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643" w:hRule="atLeast"/>
        </w:trPr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申报核销手（账）册号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核销起始日期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核销截止日期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6"/>
              <w:jc w:val="both"/>
            </w:pPr>
            <w:r>
              <w:rPr>
                <w:rFonts w:ascii="宋体" w:hAnsi="宋体" w:eastAsia="宋体" w:cs="宋体"/>
              </w:rPr>
              <w:t>实际分配率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51"/>
              <w:jc w:val="both"/>
            </w:pPr>
            <w:r>
              <w:rPr>
                <w:rFonts w:ascii="宋体" w:hAnsi="宋体" w:eastAsia="宋体" w:cs="宋体"/>
              </w:rPr>
              <w:t>已申报出口额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0"/>
              <w:jc w:val="both"/>
            </w:pPr>
            <w:r>
              <w:rPr>
                <w:rFonts w:ascii="宋体" w:hAnsi="宋体" w:eastAsia="宋体" w:cs="宋体"/>
              </w:rPr>
              <w:t>应调整免抵退税额</w:t>
            </w: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应调整不得免征和抵扣税额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81"/>
              <w:jc w:val="both"/>
            </w:pPr>
            <w:r>
              <w:rPr>
                <w:rFonts w:ascii="宋体" w:hAnsi="宋体" w:eastAsia="宋体" w:cs="宋体"/>
              </w:rPr>
              <w:t>所属年度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7"/>
              <w:jc w:val="center"/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271" w:hRule="atLeast"/>
        </w:trPr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7"/>
              <w:jc w:val="center"/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1"/>
              <w:jc w:val="center"/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2"/>
              <w:jc w:val="center"/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3"/>
              <w:jc w:val="center"/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264" w:hRule="atLeast"/>
        </w:trPr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264" w:hRule="atLeast"/>
        </w:trPr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264" w:hRule="atLeast"/>
        </w:trPr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264" w:hRule="atLeast"/>
        </w:trPr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52"/>
            </w:pPr>
            <w:r>
              <w:rPr>
                <w:rFonts w:ascii="宋体" w:hAnsi="宋体" w:eastAsia="宋体" w:cs="宋体"/>
              </w:rPr>
              <w:t>合计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"/>
              <w:jc w:val="center"/>
            </w:pPr>
            <w:r>
              <w:rPr>
                <w:rFonts w:ascii="宋体" w:hAnsi="宋体" w:eastAsia="宋体" w:cs="宋体"/>
              </w:rPr>
              <w:t>——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91"/>
            </w:pPr>
            <w:r>
              <w:rPr>
                <w:rFonts w:ascii="宋体" w:hAnsi="宋体" w:eastAsia="宋体" w:cs="宋体"/>
              </w:rPr>
              <w:t>——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83"/>
            </w:pPr>
            <w:r>
              <w:rPr>
                <w:rFonts w:ascii="宋体" w:hAnsi="宋体" w:eastAsia="宋体" w:cs="宋体"/>
              </w:rPr>
              <w:t>——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60"/>
            </w:pPr>
            <w:r>
              <w:rPr>
                <w:rFonts w:ascii="宋体" w:hAnsi="宋体" w:eastAsia="宋体" w:cs="宋体"/>
              </w:rPr>
              <w:t>——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397"/>
            </w:pPr>
            <w:r>
              <w:rPr>
                <w:rFonts w:ascii="宋体" w:hAnsi="宋体" w:eastAsia="宋体" w:cs="宋体"/>
              </w:rPr>
              <w:t>——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7"/>
              <w:jc w:val="center"/>
            </w:pPr>
            <w:r>
              <w:rPr>
                <w:rFonts w:ascii="宋体" w:hAnsi="宋体" w:eastAsia="宋体" w:cs="宋体"/>
              </w:rPr>
              <w:t>——</w:t>
            </w: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422" w:hRule="atLeast"/>
        </w:trPr>
        <w:tc>
          <w:tcPr>
            <w:tcW w:w="631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宋体" w:hAnsi="宋体" w:eastAsia="宋体" w:cs="宋体"/>
              </w:rPr>
              <w:t>已核销手（账）册综合实际分配率</w:t>
            </w:r>
          </w:p>
        </w:tc>
        <w:tc>
          <w:tcPr>
            <w:tcW w:w="81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1255" w:hRule="atLeast"/>
        </w:trPr>
        <w:tc>
          <w:tcPr>
            <w:tcW w:w="1448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484"/>
            </w:pPr>
            <w:r>
              <w:rPr>
                <w:rFonts w:ascii="宋体" w:hAnsi="宋体" w:eastAsia="宋体" w:cs="宋体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                                                                        纳税人（签章）：         年  月  日</w:t>
            </w:r>
          </w:p>
        </w:tc>
      </w:tr>
      <w:tr>
        <w:tblPrEx>
          <w:tblCellMar>
            <w:top w:w="18" w:type="dxa"/>
            <w:left w:w="34" w:type="dxa"/>
            <w:bottom w:w="0" w:type="dxa"/>
            <w:right w:w="28" w:type="dxa"/>
          </w:tblCellMar>
        </w:tblPrEx>
        <w:trPr>
          <w:trHeight w:val="1195" w:hRule="atLeast"/>
        </w:trPr>
        <w:tc>
          <w:tcPr>
            <w:tcW w:w="511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484"/>
            </w:pPr>
            <w:r>
              <w:rPr>
                <w:rFonts w:ascii="宋体" w:hAnsi="宋体" w:eastAsia="宋体" w:cs="宋体"/>
              </w:rPr>
              <w:t>受理人：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       日期：      年    月    日</w:t>
            </w:r>
          </w:p>
        </w:tc>
        <w:tc>
          <w:tcPr>
            <w:tcW w:w="44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484"/>
            </w:pPr>
            <w:r>
              <w:rPr>
                <w:rFonts w:ascii="宋体" w:hAnsi="宋体" w:eastAsia="宋体" w:cs="宋体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日期：      年  月   日</w:t>
            </w:r>
          </w:p>
        </w:tc>
        <w:tc>
          <w:tcPr>
            <w:tcW w:w="4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484"/>
              <w:ind w:left="1"/>
            </w:pPr>
            <w:r>
              <w:rPr>
                <w:rFonts w:ascii="宋体" w:hAnsi="宋体" w:eastAsia="宋体" w:cs="宋体"/>
              </w:rPr>
              <w:t>复核人：</w:t>
            </w:r>
          </w:p>
          <w:p>
            <w:pPr>
              <w:spacing w:after="0"/>
              <w:ind w:left="1"/>
            </w:pPr>
            <w:r>
              <w:rPr>
                <w:rFonts w:ascii="宋体" w:hAnsi="宋体" w:eastAsia="宋体" w:cs="宋体"/>
              </w:rPr>
              <w:t xml:space="preserve">          日期：      年  月  日   （公章）</w:t>
            </w:r>
          </w:p>
        </w:tc>
      </w:tr>
    </w:tbl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填表说明：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1.第2栏“申报核销手（账）册号”：按本次申报核销的手册或者账册号码填写。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2.第3栏“核销起始日期”、第4栏“核销截止日期”：按申报核销账册的海关核销周期起、止日期填写。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3.第5栏“实际分配率”：按海关传递的进料加工手（账）册核销数据及企业调整情况计算填列，申报系统自动计算。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 xml:space="preserve">  实际分配率=进口总值÷出口总值。其中，进口总值、出口总值应为按实际进出口情况，根据海关监管方式计算调整后的金额: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 xml:space="preserve">  进口总值=（进口）进料加工(对口合同)【监管方式0615】+（进口）进料深加工结转货物【监管方式0654】+（进口）进料加工余料结转【监管方式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0657】+（进口）进料加工料件退换【监管方式0700】+（进口）进料加工(非对口合同)【监管方式0715】+（进口）保税工厂【监管方式1215】-（出口）进料加工余料结转【监管方式0657】-（出口）进料加工复运出境的原进口料件【监管方式0664】-（出口）进料加工料件退换【监管方式0700】-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（出口）进料加工项下边角料复出口【监管方式0864】-（出口）加工贸易料件、残次品（折料）销毁【监管方式0200】-（进口）进料加工料件转内销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【监管方式0644】-（进口）进料加工项下边角料转内销【监管方式0844】   出口总值=（出口）进料加工(对口合同)【监管方式0615】+（出口）进料深加工结转货物【监管方式0654】+（出口）进料加工(非对口合同)【监管方式0715】+（出口）保税工厂【监管方式1215】+（出口）进料成品退换【监管方式4600】-（进口）进料成品退换【监管方式4600】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4.第6栏“已申报出口额”：按企业已申报免抵退税的出口销售额（人民币）计算对应手册或者账册的已申报出口额填写。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5.第7栏“应调整免抵退税额”：根据实际分配率计算实际免抵退税额，对前期已参与计算的免抵退税额进行调整，本栏体现需要调整的金额。应调整免抵退税额=根据实际分配率计算的实际免抵退税额-前期已参与计算的免抵退税额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6.第8栏“应调整不得免征和抵扣税额”：根据实际分配率计算实际不得免征和抵扣税额，对前期已参与计算的不得免征和抵扣税额进行调整，本栏体现需要调整的金额。应调整不得免征和抵扣税额=根据实际分配率计算的实际不得免征和抵扣税额-前期已参与计算的不得免征和抵扣税额。</w:t>
      </w:r>
    </w:p>
    <w:p>
      <w:pPr>
        <w:spacing w:after="3" w:line="265" w:lineRule="auto"/>
        <w:ind w:left="1064" w:hanging="10"/>
      </w:pPr>
      <w:r>
        <w:rPr>
          <w:rFonts w:ascii="宋体" w:hAnsi="宋体" w:eastAsia="宋体" w:cs="宋体"/>
        </w:rPr>
        <w:t>7.“已核销手（账）册综合实际分配率”:按本次申报核销的所有手（账）册的进口总值÷出口总值计算填写。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27D57"/>
    <w:rsid w:val="67B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2026-02-11T03:23:00Z</dcterms:created>
  <dc:creator>fzr</dc:creator>
  <cp:lastModifiedBy>fzr</cp:lastModifiedBy>
  <dcterms:modified xsi:type="dcterms:W3CDTF">2026-02-11T08:25:49Z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