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406"/>
        <w:jc w:val="left"/>
        <w:rPr>
          <w:rFonts w:hint="eastAsia"/>
        </w:rPr>
      </w:pPr>
      <w:r>
        <w:rPr>
          <w:sz w:val="26"/>
        </w:rPr>
        <w:t>27.业务类型代码表</w:t>
      </w:r>
    </w:p>
    <w:tbl>
      <w:tblPr>
        <w:tblStyle w:val="5"/>
        <w:tblW w:w="9641" w:type="dxa"/>
        <w:tblInd w:w="-314" w:type="dxa"/>
        <w:tblLayout w:type="autofit"/>
        <w:tblCellMar>
          <w:top w:w="32" w:type="dxa"/>
          <w:left w:w="29" w:type="dxa"/>
          <w:bottom w:w="0" w:type="dxa"/>
          <w:right w:w="75" w:type="dxa"/>
        </w:tblCellMar>
      </w:tblPr>
      <w:tblGrid>
        <w:gridCol w:w="506"/>
        <w:gridCol w:w="4234"/>
        <w:gridCol w:w="1853"/>
        <w:gridCol w:w="1274"/>
        <w:gridCol w:w="1774"/>
      </w:tblGrid>
      <w:tr>
        <w:tblPrEx>
          <w:tblCellMar>
            <w:top w:w="32" w:type="dxa"/>
            <w:left w:w="29" w:type="dxa"/>
            <w:bottom w:w="0" w:type="dxa"/>
            <w:right w:w="75" w:type="dxa"/>
          </w:tblCellMar>
        </w:tblPrEx>
        <w:trPr>
          <w:trHeight w:val="247"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6"/>
              <w:jc w:val="both"/>
            </w:pPr>
            <w:r>
              <w:rPr>
                <w:rFonts w:ascii="宋体" w:hAnsi="宋体" w:eastAsia="宋体" w:cs="宋体"/>
                <w:sz w:val="17"/>
              </w:rPr>
              <w:t>序号</w:t>
            </w:r>
          </w:p>
        </w:tc>
        <w:tc>
          <w:tcPr>
            <w:tcW w:w="4234" w:type="dxa"/>
            <w:tcBorders>
              <w:top w:val="single" w:color="000000" w:sz="6" w:space="0"/>
              <w:left w:val="single" w:color="000000" w:sz="6" w:space="0"/>
              <w:bottom w:val="single" w:color="000000" w:sz="6" w:space="0"/>
              <w:right w:val="single" w:color="000000" w:sz="6" w:space="0"/>
            </w:tcBorders>
          </w:tcPr>
          <w:p>
            <w:pPr>
              <w:spacing w:after="0"/>
              <w:ind w:left="46"/>
              <w:jc w:val="center"/>
            </w:pPr>
            <w:r>
              <w:rPr>
                <w:rFonts w:ascii="宋体" w:hAnsi="宋体" w:eastAsia="宋体" w:cs="宋体"/>
                <w:sz w:val="17"/>
              </w:rPr>
              <w:t>业务描述</w:t>
            </w:r>
          </w:p>
        </w:tc>
        <w:tc>
          <w:tcPr>
            <w:tcW w:w="1853" w:type="dxa"/>
            <w:tcBorders>
              <w:top w:val="single" w:color="000000" w:sz="6" w:space="0"/>
              <w:left w:val="single" w:color="000000" w:sz="6" w:space="0"/>
              <w:bottom w:val="single" w:color="000000" w:sz="6" w:space="0"/>
              <w:right w:val="single" w:color="000000" w:sz="6" w:space="0"/>
            </w:tcBorders>
          </w:tcPr>
          <w:p>
            <w:pPr>
              <w:spacing w:after="0"/>
              <w:ind w:left="42"/>
              <w:jc w:val="center"/>
            </w:pPr>
            <w:r>
              <w:rPr>
                <w:rFonts w:ascii="宋体" w:hAnsi="宋体" w:eastAsia="宋体" w:cs="宋体"/>
                <w:sz w:val="17"/>
              </w:rPr>
              <w:t>业务类型名称</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17"/>
              </w:rPr>
              <w:t>业务类型代码</w:t>
            </w:r>
          </w:p>
        </w:tc>
        <w:tc>
          <w:tcPr>
            <w:tcW w:w="1774" w:type="dxa"/>
            <w:tcBorders>
              <w:top w:val="single" w:color="000000" w:sz="6" w:space="0"/>
              <w:left w:val="single" w:color="000000" w:sz="6" w:space="0"/>
              <w:bottom w:val="single" w:color="000000" w:sz="6" w:space="0"/>
              <w:right w:val="single" w:color="000000" w:sz="6" w:space="0"/>
            </w:tcBorders>
          </w:tcPr>
          <w:p>
            <w:pPr>
              <w:spacing w:after="0"/>
              <w:ind w:left="54"/>
              <w:jc w:val="center"/>
            </w:pPr>
            <w:r>
              <w:rPr>
                <w:rFonts w:ascii="宋体" w:hAnsi="宋体" w:eastAsia="宋体" w:cs="宋体"/>
                <w:sz w:val="17"/>
              </w:rPr>
              <w:t>备注</w:t>
            </w:r>
          </w:p>
        </w:tc>
      </w:tr>
      <w:tr>
        <w:tblPrEx>
          <w:tblCellMar>
            <w:top w:w="32" w:type="dxa"/>
            <w:left w:w="29" w:type="dxa"/>
            <w:bottom w:w="0" w:type="dxa"/>
            <w:right w:w="75" w:type="dxa"/>
          </w:tblCellMar>
        </w:tblPrEx>
        <w:trPr>
          <w:trHeight w:val="734"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59"/>
              <w:jc w:val="center"/>
            </w:pPr>
            <w:r>
              <w:rPr>
                <w:rFonts w:ascii="宋体" w:hAnsi="宋体" w:eastAsia="宋体" w:cs="宋体"/>
                <w:sz w:val="17"/>
              </w:rPr>
              <w:t>1</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报关进入特殊区域并销售给特殊区域内单位或者境外单位、个人的货物（销售给特殊区域内纳税人生产耗用的列名原材料除外）</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特殊区域</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TSQY</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83"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9"/>
              <w:jc w:val="center"/>
            </w:pPr>
            <w:r>
              <w:rPr>
                <w:rFonts w:ascii="宋体" w:hAnsi="宋体" w:eastAsia="宋体" w:cs="宋体"/>
                <w:sz w:val="17"/>
              </w:rPr>
              <w:t>2</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销售给特殊区域内纳税人生产耗用的列名原材料</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列名原材料</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LMYCL</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83"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9"/>
              <w:jc w:val="center"/>
            </w:pPr>
            <w:r>
              <w:rPr>
                <w:rFonts w:ascii="宋体" w:hAnsi="宋体" w:eastAsia="宋体" w:cs="宋体"/>
                <w:sz w:val="17"/>
              </w:rPr>
              <w:t>3</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有关免税品企业销售的货物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免税店</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MSD</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83"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9"/>
              <w:jc w:val="center"/>
            </w:pPr>
            <w:r>
              <w:rPr>
                <w:rFonts w:ascii="宋体" w:hAnsi="宋体" w:eastAsia="宋体" w:cs="宋体"/>
                <w:sz w:val="17"/>
              </w:rPr>
              <w:t>4</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销售的中标机电产品</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中标</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ZB</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5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59"/>
              <w:jc w:val="center"/>
            </w:pPr>
            <w:r>
              <w:rPr>
                <w:rFonts w:ascii="宋体" w:hAnsi="宋体" w:eastAsia="宋体" w:cs="宋体"/>
                <w:sz w:val="17"/>
              </w:rPr>
              <w:t>5</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向按实物征收增值税的中外合作油（气）田开采企业销售的自产海洋工程结构物</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结构物</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JGW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10"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9"/>
              <w:jc w:val="center"/>
            </w:pPr>
            <w:r>
              <w:rPr>
                <w:rFonts w:ascii="宋体" w:hAnsi="宋体" w:eastAsia="宋体" w:cs="宋体"/>
                <w:sz w:val="17"/>
              </w:rPr>
              <w:t>6</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销售给国际运输企业用于国际运输船舶上的货物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外轮</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WL</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94"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59"/>
              <w:jc w:val="center"/>
            </w:pPr>
            <w:r>
              <w:rPr>
                <w:rFonts w:ascii="宋体" w:hAnsi="宋体" w:eastAsia="宋体" w:cs="宋体"/>
                <w:sz w:val="17"/>
              </w:rPr>
              <w:t>7</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国内航空供应公司生产销售给国内和国外航空公司国际航班的航空食品</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航空食品</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HKSP</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38"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9"/>
              <w:jc w:val="center"/>
            </w:pPr>
            <w:r>
              <w:rPr>
                <w:rFonts w:ascii="宋体" w:hAnsi="宋体" w:eastAsia="宋体" w:cs="宋体"/>
                <w:sz w:val="17"/>
              </w:rPr>
              <w:t>8</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输入特殊区域的水电气</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水电气</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SDQ</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5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59"/>
              <w:jc w:val="center"/>
            </w:pPr>
            <w:r>
              <w:rPr>
                <w:rFonts w:ascii="宋体" w:hAnsi="宋体" w:eastAsia="宋体" w:cs="宋体"/>
                <w:sz w:val="17"/>
              </w:rPr>
              <w:t>9</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向海关报关、交付到境内指定堆场并销售给境外单位</w:t>
            </w:r>
          </w:p>
          <w:p>
            <w:pPr>
              <w:spacing w:after="0"/>
            </w:pPr>
            <w:r>
              <w:rPr>
                <w:rFonts w:ascii="宋体" w:hAnsi="宋体" w:eastAsia="宋体" w:cs="宋体"/>
                <w:sz w:val="17"/>
              </w:rPr>
              <w:t>、个人的新造集装箱</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集装箱</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9"/>
              <w:jc w:val="center"/>
            </w:pPr>
            <w:r>
              <w:rPr>
                <w:rFonts w:ascii="宋体" w:hAnsi="宋体" w:eastAsia="宋体" w:cs="宋体"/>
                <w:sz w:val="17"/>
              </w:rPr>
              <w:t>JZX</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9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10</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在轨交付的空间飞行器及相关货物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在轨交付</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ZGJF</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9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11</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用于对外承包工程的货物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对外承包</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DWCB</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9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12</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用于境外投资的货物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境外投资</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JWTZ</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9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13</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用于对外援助资金类型为优惠贷款项目的货物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对外援助</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DWYZ</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295"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14</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向境外单位销售的完全在境外消费的研发服务</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研发服务</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YFFW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15</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向境外单位销售的完全在境外消费的合同能源管理服务</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合同能源管理服务</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48"/>
              <w:jc w:val="center"/>
            </w:pPr>
            <w:r>
              <w:rPr>
                <w:rFonts w:ascii="宋体" w:hAnsi="宋体" w:eastAsia="宋体" w:cs="宋体"/>
                <w:sz w:val="17"/>
              </w:rPr>
              <w:t>HTNYGLFW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38"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16</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向境外单位销售的完全在境外消费的设计服务</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设计服务</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SJFW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17</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向境外单位销售的完全在境外消费的广播影视制作服务</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广播影视制作服务</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48"/>
              <w:jc w:val="center"/>
            </w:pPr>
            <w:r>
              <w:rPr>
                <w:rFonts w:ascii="宋体" w:hAnsi="宋体" w:eastAsia="宋体" w:cs="宋体"/>
                <w:sz w:val="17"/>
              </w:rPr>
              <w:t>GBYSZZFW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18</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向境外单位销售的完全在境外消费的广播影视发行服务</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广播影视发行服务</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48"/>
              <w:jc w:val="center"/>
            </w:pPr>
            <w:r>
              <w:rPr>
                <w:rFonts w:ascii="宋体" w:hAnsi="宋体" w:eastAsia="宋体" w:cs="宋体"/>
                <w:sz w:val="17"/>
              </w:rPr>
              <w:t>GBYSFXFW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19</w:t>
            </w:r>
          </w:p>
        </w:tc>
        <w:tc>
          <w:tcPr>
            <w:tcW w:w="4234"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向境外单位销售的完全在境外消费的软件服务</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软件服务</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RJFW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20</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向境外单位销售的完全在境外消费的电路设计及测试服务</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电路设计及测试服务</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48"/>
              <w:jc w:val="center"/>
            </w:pPr>
            <w:r>
              <w:rPr>
                <w:rFonts w:ascii="宋体" w:hAnsi="宋体" w:eastAsia="宋体" w:cs="宋体"/>
                <w:sz w:val="17"/>
              </w:rPr>
              <w:t>DLSJCSFW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21</w:t>
            </w:r>
          </w:p>
        </w:tc>
        <w:tc>
          <w:tcPr>
            <w:tcW w:w="4234"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向境外单位销售的完全在境外消费的信息系统服务</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信息系统服务</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48"/>
              <w:jc w:val="center"/>
            </w:pPr>
            <w:r>
              <w:rPr>
                <w:rFonts w:ascii="宋体" w:hAnsi="宋体" w:eastAsia="宋体" w:cs="宋体"/>
                <w:sz w:val="17"/>
              </w:rPr>
              <w:t>XXXTFW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22</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向境外单位销售的完全在境外消费的业务流程管理服务</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业务流程管理服务</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48"/>
              <w:jc w:val="center"/>
            </w:pPr>
            <w:r>
              <w:rPr>
                <w:rFonts w:ascii="宋体" w:hAnsi="宋体" w:eastAsia="宋体" w:cs="宋体"/>
                <w:sz w:val="17"/>
              </w:rPr>
              <w:t>YWLCGLFW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23</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向境外单位销售的完全在境外消费的信息技术外包服务</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信息技术外包服务</w:t>
            </w:r>
          </w:p>
          <w:p>
            <w:pPr>
              <w:spacing w:after="0"/>
            </w:pPr>
            <w:r>
              <w:rPr>
                <w:rFonts w:ascii="宋体" w:hAnsi="宋体" w:eastAsia="宋体" w:cs="宋体"/>
                <w:sz w:val="17"/>
              </w:rPr>
              <w:t>（ITO)</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ITO</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24</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向境外单位销售的完全在境外消费的技术性业务流程外包服务</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技术性业务流程外包服务（BPO)</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BPO</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46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25</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向境外单位销售的完全在境外消费的技术性知识流程外包服务</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技术性知识流程外包服务（KPO)</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KPO</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26</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转让技术</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转让技术</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8"/>
              <w:jc w:val="center"/>
            </w:pPr>
            <w:r>
              <w:rPr>
                <w:rFonts w:ascii="宋体" w:hAnsi="宋体" w:eastAsia="宋体" w:cs="宋体"/>
                <w:sz w:val="17"/>
              </w:rPr>
              <w:t>ZRJS</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27</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期租</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期租</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QZ</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28</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程租</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程租</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CZ</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29</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湿租</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湿租</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3"/>
              <w:jc w:val="center"/>
            </w:pPr>
            <w:r>
              <w:rPr>
                <w:rFonts w:ascii="宋体" w:hAnsi="宋体" w:eastAsia="宋体" w:cs="宋体"/>
                <w:sz w:val="17"/>
              </w:rPr>
              <w:t>SZ</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30</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航天运输服务</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航天运输服务</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48"/>
              <w:jc w:val="center"/>
            </w:pPr>
            <w:r>
              <w:rPr>
                <w:rFonts w:ascii="宋体" w:hAnsi="宋体" w:eastAsia="宋体" w:cs="宋体"/>
                <w:sz w:val="17"/>
              </w:rPr>
              <w:t>HTYSFW</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636"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31</w:t>
            </w:r>
          </w:p>
        </w:tc>
        <w:tc>
          <w:tcPr>
            <w:tcW w:w="4234"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对外修理修配服务（修理修配飞机、船舶除外）</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对外修理修配服务（修理修配飞机、船舶除外）</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3"/>
              <w:jc w:val="center"/>
            </w:pPr>
            <w:r>
              <w:rPr>
                <w:rFonts w:ascii="宋体" w:hAnsi="宋体" w:eastAsia="宋体" w:cs="宋体"/>
                <w:sz w:val="17"/>
              </w:rPr>
              <w:t>XLXP</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67"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32</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对外修理修配服务-修理飞机</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对外修理修配飞机</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6"/>
              <w:jc w:val="center"/>
            </w:pPr>
            <w:r>
              <w:rPr>
                <w:rFonts w:ascii="宋体" w:hAnsi="宋体" w:eastAsia="宋体" w:cs="宋体"/>
                <w:sz w:val="17"/>
              </w:rPr>
              <w:t>XLXP-01</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5" w:type="dxa"/>
          </w:tblCellMar>
        </w:tblPrEx>
        <w:trPr>
          <w:trHeight w:val="367"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33</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对外修理修配服务-修理船舶</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对外修理修配船舶</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6"/>
              <w:jc w:val="center"/>
            </w:pPr>
            <w:r>
              <w:rPr>
                <w:rFonts w:ascii="宋体" w:hAnsi="宋体" w:eastAsia="宋体" w:cs="宋体"/>
                <w:sz w:val="17"/>
              </w:rPr>
              <w:t>XLXP-02</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bl>
    <w:p>
      <w:pPr>
        <w:spacing w:after="0"/>
        <w:ind w:left="-1440" w:right="10465"/>
      </w:pPr>
    </w:p>
    <w:tbl>
      <w:tblPr>
        <w:tblStyle w:val="5"/>
        <w:tblW w:w="9641" w:type="dxa"/>
        <w:tblInd w:w="-314" w:type="dxa"/>
        <w:tblLayout w:type="autofit"/>
        <w:tblCellMar>
          <w:top w:w="32" w:type="dxa"/>
          <w:left w:w="29" w:type="dxa"/>
          <w:bottom w:w="0" w:type="dxa"/>
          <w:right w:w="41" w:type="dxa"/>
        </w:tblCellMar>
      </w:tblPr>
      <w:tblGrid>
        <w:gridCol w:w="506"/>
        <w:gridCol w:w="4234"/>
        <w:gridCol w:w="1853"/>
        <w:gridCol w:w="1274"/>
        <w:gridCol w:w="1774"/>
      </w:tblGrid>
      <w:tr>
        <w:tblPrEx>
          <w:tblCellMar>
            <w:top w:w="32" w:type="dxa"/>
            <w:left w:w="29" w:type="dxa"/>
            <w:bottom w:w="0" w:type="dxa"/>
            <w:right w:w="41" w:type="dxa"/>
          </w:tblCellMar>
        </w:tblPrEx>
        <w:trPr>
          <w:trHeight w:val="247"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6"/>
              <w:jc w:val="both"/>
            </w:pPr>
            <w:r>
              <w:rPr>
                <w:rFonts w:ascii="宋体" w:hAnsi="宋体" w:eastAsia="宋体" w:cs="宋体"/>
                <w:sz w:val="17"/>
              </w:rPr>
              <w:t>序号</w:t>
            </w:r>
          </w:p>
        </w:tc>
        <w:tc>
          <w:tcPr>
            <w:tcW w:w="4234" w:type="dxa"/>
            <w:tcBorders>
              <w:top w:val="single" w:color="000000" w:sz="6" w:space="0"/>
              <w:left w:val="single" w:color="000000" w:sz="6" w:space="0"/>
              <w:bottom w:val="single" w:color="000000" w:sz="6" w:space="0"/>
              <w:right w:val="single" w:color="000000" w:sz="6" w:space="0"/>
            </w:tcBorders>
          </w:tcPr>
          <w:p>
            <w:pPr>
              <w:spacing w:after="0"/>
              <w:ind w:left="13"/>
              <w:jc w:val="center"/>
            </w:pPr>
            <w:r>
              <w:rPr>
                <w:rFonts w:ascii="宋体" w:hAnsi="宋体" w:eastAsia="宋体" w:cs="宋体"/>
                <w:sz w:val="17"/>
              </w:rPr>
              <w:t>业务描述</w:t>
            </w:r>
          </w:p>
        </w:tc>
        <w:tc>
          <w:tcPr>
            <w:tcW w:w="1853" w:type="dxa"/>
            <w:tcBorders>
              <w:top w:val="single" w:color="000000" w:sz="6" w:space="0"/>
              <w:left w:val="single" w:color="000000" w:sz="6" w:space="0"/>
              <w:bottom w:val="single" w:color="000000" w:sz="6" w:space="0"/>
              <w:right w:val="single" w:color="000000" w:sz="6" w:space="0"/>
            </w:tcBorders>
          </w:tcPr>
          <w:p>
            <w:pPr>
              <w:spacing w:after="0"/>
              <w:ind w:left="8"/>
              <w:jc w:val="center"/>
            </w:pPr>
            <w:r>
              <w:rPr>
                <w:rFonts w:ascii="宋体" w:hAnsi="宋体" w:eastAsia="宋体" w:cs="宋体"/>
                <w:sz w:val="17"/>
              </w:rPr>
              <w:t>业务类型名称</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17"/>
              </w:rPr>
              <w:t>业务类型代码</w:t>
            </w:r>
          </w:p>
        </w:tc>
        <w:tc>
          <w:tcPr>
            <w:tcW w:w="1774" w:type="dxa"/>
            <w:tcBorders>
              <w:top w:val="single" w:color="000000" w:sz="6" w:space="0"/>
              <w:left w:val="single" w:color="000000" w:sz="6" w:space="0"/>
              <w:bottom w:val="single" w:color="000000" w:sz="6" w:space="0"/>
              <w:right w:val="single" w:color="000000" w:sz="6" w:space="0"/>
            </w:tcBorders>
          </w:tcPr>
          <w:p>
            <w:pPr>
              <w:spacing w:after="0"/>
              <w:ind w:left="20"/>
              <w:jc w:val="center"/>
            </w:pPr>
            <w:r>
              <w:rPr>
                <w:rFonts w:ascii="宋体" w:hAnsi="宋体" w:eastAsia="宋体" w:cs="宋体"/>
                <w:sz w:val="17"/>
              </w:rPr>
              <w:t>备注</w:t>
            </w:r>
          </w:p>
        </w:tc>
      </w:tr>
      <w:tr>
        <w:tblPrEx>
          <w:tblCellMar>
            <w:top w:w="32" w:type="dxa"/>
            <w:left w:w="29" w:type="dxa"/>
            <w:bottom w:w="0" w:type="dxa"/>
            <w:right w:w="41" w:type="dxa"/>
          </w:tblCellMar>
        </w:tblPrEx>
        <w:trPr>
          <w:trHeight w:val="367"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34</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对外修理修配服务-航线维护</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航线维护</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19"/>
              <w:jc w:val="center"/>
            </w:pPr>
            <w:r>
              <w:rPr>
                <w:rFonts w:ascii="宋体" w:hAnsi="宋体" w:eastAsia="宋体" w:cs="宋体"/>
                <w:sz w:val="17"/>
              </w:rPr>
              <w:t>HXWH</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41" w:type="dxa"/>
          </w:tblCellMar>
        </w:tblPrEx>
        <w:trPr>
          <w:trHeight w:val="367"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35</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对外修理修配服务-航次维修</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航次维修</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19"/>
              <w:jc w:val="center"/>
            </w:pPr>
            <w:r>
              <w:rPr>
                <w:rFonts w:ascii="宋体" w:hAnsi="宋体" w:eastAsia="宋体" w:cs="宋体"/>
                <w:sz w:val="17"/>
              </w:rPr>
              <w:t>HCWX</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41" w:type="dxa"/>
          </w:tblCellMar>
        </w:tblPrEx>
        <w:trPr>
          <w:trHeight w:val="1555"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36</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同时符合下列条件的生产企业出口的外购货物：</w:t>
            </w:r>
          </w:p>
          <w:p>
            <w:pPr>
              <w:spacing w:after="0"/>
            </w:pPr>
            <w:r>
              <w:rPr>
                <w:rFonts w:ascii="宋体" w:hAnsi="宋体" w:eastAsia="宋体" w:cs="宋体"/>
                <w:sz w:val="17"/>
              </w:rPr>
              <w:t>1.增值税一般纳税人。</w:t>
            </w:r>
          </w:p>
          <w:p>
            <w:pPr>
              <w:spacing w:after="0"/>
            </w:pPr>
            <w:r>
              <w:rPr>
                <w:rFonts w:ascii="宋体" w:hAnsi="宋体" w:eastAsia="宋体" w:cs="宋体"/>
                <w:sz w:val="17"/>
              </w:rPr>
              <w:t>2.已持续经营2年及2年以上。</w:t>
            </w:r>
          </w:p>
          <w:p>
            <w:pPr>
              <w:spacing w:after="0"/>
            </w:pPr>
            <w:r>
              <w:rPr>
                <w:rFonts w:ascii="宋体" w:hAnsi="宋体" w:eastAsia="宋体" w:cs="宋体"/>
                <w:sz w:val="17"/>
              </w:rPr>
              <w:t>3.纳税缴费信用级别A级。</w:t>
            </w:r>
          </w:p>
          <w:p>
            <w:pPr>
              <w:spacing w:after="0"/>
            </w:pPr>
            <w:r>
              <w:rPr>
                <w:rFonts w:ascii="宋体" w:hAnsi="宋体" w:eastAsia="宋体" w:cs="宋体"/>
                <w:sz w:val="17"/>
              </w:rPr>
              <w:t>4.上一年度销售额5亿元以上。</w:t>
            </w:r>
          </w:p>
          <w:p>
            <w:pPr>
              <w:spacing w:after="0"/>
            </w:pPr>
            <w:r>
              <w:rPr>
                <w:rFonts w:ascii="宋体" w:hAnsi="宋体" w:eastAsia="宋体" w:cs="宋体"/>
                <w:sz w:val="17"/>
              </w:rPr>
              <w:t>5.外购出口的货物与本企业自产货物同类型或者具有相关性。</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视同自产-01</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STZC-01</w:t>
            </w:r>
          </w:p>
        </w:tc>
        <w:tc>
          <w:tcPr>
            <w:tcW w:w="1774" w:type="dxa"/>
            <w:vMerge w:val="restart"/>
            <w:tcBorders>
              <w:top w:val="single" w:color="000000" w:sz="6" w:space="0"/>
              <w:left w:val="single" w:color="000000" w:sz="6" w:space="0"/>
              <w:bottom w:val="single" w:color="000000" w:sz="6" w:space="0"/>
              <w:right w:val="single" w:color="000000" w:sz="6" w:space="0"/>
            </w:tcBorders>
            <w:vAlign w:val="center"/>
          </w:tcPr>
          <w:p>
            <w:pPr>
              <w:spacing w:after="18" w:line="228" w:lineRule="auto"/>
              <w:jc w:val="both"/>
            </w:pPr>
            <w:r>
              <w:rPr>
                <w:rFonts w:ascii="宋体" w:hAnsi="宋体" w:eastAsia="宋体" w:cs="宋体"/>
                <w:sz w:val="17"/>
              </w:rPr>
              <w:t>生产企业申报出口视同 自 产 的 货 物 退</w:t>
            </w:r>
          </w:p>
          <w:p>
            <w:pPr>
              <w:spacing w:after="0"/>
            </w:pPr>
            <w:r>
              <w:rPr>
                <w:rFonts w:ascii="宋体" w:hAnsi="宋体" w:eastAsia="宋体" w:cs="宋体"/>
                <w:sz w:val="17"/>
              </w:rPr>
              <w:t>（免）税时填写</w:t>
            </w:r>
          </w:p>
        </w:tc>
      </w:tr>
      <w:tr>
        <w:tblPrEx>
          <w:tblCellMar>
            <w:top w:w="32" w:type="dxa"/>
            <w:left w:w="29" w:type="dxa"/>
            <w:bottom w:w="0" w:type="dxa"/>
            <w:right w:w="41" w:type="dxa"/>
          </w:tblCellMar>
        </w:tblPrEx>
        <w:trPr>
          <w:trHeight w:val="115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37</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同时符合下列条件的外购货物：</w:t>
            </w:r>
          </w:p>
          <w:p>
            <w:pPr>
              <w:spacing w:after="0"/>
            </w:pPr>
            <w:r>
              <w:rPr>
                <w:rFonts w:ascii="宋体" w:hAnsi="宋体" w:eastAsia="宋体" w:cs="宋体"/>
                <w:sz w:val="17"/>
              </w:rPr>
              <w:t>1.与本企业自产的货物名称、性能相同。</w:t>
            </w:r>
          </w:p>
          <w:p>
            <w:pPr>
              <w:spacing w:after="0" w:line="228" w:lineRule="auto"/>
            </w:pPr>
            <w:r>
              <w:rPr>
                <w:rFonts w:ascii="宋体" w:hAnsi="宋体" w:eastAsia="宋体" w:cs="宋体"/>
                <w:sz w:val="17"/>
              </w:rPr>
              <w:t>2.使用本企业注册商标或者境外单位或者个人提供给本企业使用的商标。</w:t>
            </w:r>
          </w:p>
          <w:p>
            <w:pPr>
              <w:spacing w:after="0"/>
            </w:pPr>
            <w:r>
              <w:rPr>
                <w:rFonts w:ascii="宋体" w:hAnsi="宋体" w:eastAsia="宋体" w:cs="宋体"/>
                <w:sz w:val="17"/>
              </w:rPr>
              <w:t>3.出口给进口本企业自产货物的境外单位或者个人。</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视同自产-02</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STZC-02</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1570"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38</w:t>
            </w:r>
          </w:p>
        </w:tc>
        <w:tc>
          <w:tcPr>
            <w:tcW w:w="4234" w:type="dxa"/>
            <w:tcBorders>
              <w:top w:val="single" w:color="000000" w:sz="6" w:space="0"/>
              <w:left w:val="single" w:color="000000" w:sz="6" w:space="0"/>
              <w:bottom w:val="single" w:color="000000" w:sz="6" w:space="0"/>
              <w:right w:val="single" w:color="000000" w:sz="6" w:space="0"/>
            </w:tcBorders>
          </w:tcPr>
          <w:p>
            <w:pPr>
              <w:spacing w:after="0" w:line="228" w:lineRule="auto"/>
            </w:pPr>
            <w:r>
              <w:rPr>
                <w:rFonts w:ascii="宋体" w:hAnsi="宋体" w:eastAsia="宋体" w:cs="宋体"/>
                <w:sz w:val="17"/>
              </w:rPr>
              <w:t>与本企业所自产的货物属于配套出口，且出口给进口本企业自产货物的境外单位或者个人的外购货物，符合下列条件之一的：</w:t>
            </w:r>
          </w:p>
          <w:p>
            <w:pPr>
              <w:spacing w:after="1" w:line="228" w:lineRule="auto"/>
            </w:pPr>
            <w:r>
              <w:rPr>
                <w:rFonts w:ascii="宋体" w:hAnsi="宋体" w:eastAsia="宋体" w:cs="宋体"/>
                <w:sz w:val="17"/>
              </w:rPr>
              <w:t>1.用于维修或者安装本企业出口的自产货物的工具、零部件、配件。</w:t>
            </w:r>
          </w:p>
          <w:p>
            <w:pPr>
              <w:spacing w:after="0"/>
            </w:pPr>
            <w:r>
              <w:rPr>
                <w:rFonts w:ascii="宋体" w:hAnsi="宋体" w:eastAsia="宋体" w:cs="宋体"/>
                <w:sz w:val="17"/>
              </w:rPr>
              <w:t>2.不经过本企业加工或者组装，出口后能直接与本企业自产货物组合成成套产品的货物。</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视同自产-03</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STZC-03</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720"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39</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经集团公司总部所在地的主管税务机关备案的集团公司，其控股的生产企业之间收购的自产货物以及集团公司与其控股的生产企业之间收购的自产货物。</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视同自产-04</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STZC-04</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178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40</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同时符合下列条件的委托加工货物：</w:t>
            </w:r>
          </w:p>
          <w:p>
            <w:pPr>
              <w:spacing w:after="3" w:line="225" w:lineRule="auto"/>
            </w:pPr>
            <w:r>
              <w:rPr>
                <w:rFonts w:ascii="宋体" w:hAnsi="宋体" w:eastAsia="宋体" w:cs="宋体"/>
                <w:sz w:val="17"/>
              </w:rPr>
              <w:t>1.与本企业自产的货物名称、性能相同，或者是用本企业自产的货物再委托深加工的货物。</w:t>
            </w:r>
          </w:p>
          <w:p>
            <w:pPr>
              <w:spacing w:after="0"/>
            </w:pPr>
            <w:r>
              <w:rPr>
                <w:rFonts w:ascii="宋体" w:hAnsi="宋体" w:eastAsia="宋体" w:cs="宋体"/>
                <w:sz w:val="17"/>
              </w:rPr>
              <w:t>2.出口给进口本企业自产货物的境外单位或者个人。</w:t>
            </w:r>
          </w:p>
          <w:p>
            <w:pPr>
              <w:spacing w:after="0"/>
            </w:pPr>
            <w:r>
              <w:rPr>
                <w:rFonts w:ascii="宋体" w:hAnsi="宋体" w:eastAsia="宋体" w:cs="宋体"/>
                <w:sz w:val="17"/>
              </w:rPr>
              <w:t>3.委托方与受托方必须签订委托加工协议，且主要原材料必须由委托方提供，受托方不垫付资金，只收取加工费，开具加工费（含代垫的辅助材料）的增值税专用发票。</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视同自产-05</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STZC-05</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310"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41</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用于本企业中标机电产品项目下的机电产品</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视同自产-06</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22"/>
              <w:jc w:val="center"/>
            </w:pPr>
            <w:r>
              <w:rPr>
                <w:rFonts w:ascii="宋体" w:hAnsi="宋体" w:eastAsia="宋体" w:cs="宋体"/>
                <w:sz w:val="17"/>
              </w:rPr>
              <w:t>STZC-06</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310"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42</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用于对外承包工程项目下的货物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视同自产-07</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22"/>
              <w:jc w:val="center"/>
            </w:pPr>
            <w:r>
              <w:rPr>
                <w:rFonts w:ascii="宋体" w:hAnsi="宋体" w:eastAsia="宋体" w:cs="宋体"/>
                <w:sz w:val="17"/>
              </w:rPr>
              <w:t>STZC-07</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310"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43</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用于境外投资的货物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视同自产-08</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22"/>
              <w:jc w:val="center"/>
            </w:pPr>
            <w:r>
              <w:rPr>
                <w:rFonts w:ascii="宋体" w:hAnsi="宋体" w:eastAsia="宋体" w:cs="宋体"/>
                <w:sz w:val="17"/>
              </w:rPr>
              <w:t>STZC-08</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310"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44</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用于对外援助的资金类型为优惠贷款项目的货物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视同自产-09</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22"/>
              <w:jc w:val="center"/>
            </w:pPr>
            <w:r>
              <w:rPr>
                <w:rFonts w:ascii="宋体" w:hAnsi="宋体" w:eastAsia="宋体" w:cs="宋体"/>
                <w:sz w:val="17"/>
              </w:rPr>
              <w:t>STZC-09</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310"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45</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生产自产货物的外购设备和原材料（农产品除外）</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视同自产-10</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22"/>
              <w:jc w:val="center"/>
            </w:pPr>
            <w:r>
              <w:rPr>
                <w:rFonts w:ascii="宋体" w:hAnsi="宋体" w:eastAsia="宋体" w:cs="宋体"/>
                <w:sz w:val="17"/>
              </w:rPr>
              <w:t>STZC-10</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69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46</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集成电路设计、软件设计、动漫设计企业及高新技术企业从事-自主研发、设计由其他企业生产加工后进行收购或者委托国内其他企业生产加工后收回的货物出</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视同自产-11</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STZC-11</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69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47</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27"/>
                <w:vertAlign w:val="superscript"/>
              </w:rPr>
              <w:t>口</w:t>
            </w:r>
            <w:r>
              <w:rPr>
                <w:rFonts w:ascii="宋体" w:hAnsi="宋体" w:eastAsia="宋体" w:cs="宋体"/>
                <w:sz w:val="17"/>
              </w:rPr>
              <w:t>集成电路设计、软件设计、动漫设计企业及高新技术企业从事-委托境外企业加工后进口再使用本企业品牌的货物出口</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视同自产-12</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STZC-12</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69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48</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集成电路设计、软件设计、动漫设计企业及高新技术企业从事-自主研发、设计软件，加载到外购的硬件设备中的货物出口</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视同自产-13</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STZC-13</w:t>
            </w:r>
          </w:p>
        </w:tc>
        <w:tc>
          <w:tcPr>
            <w:tcW w:w="0" w:type="auto"/>
            <w:vMerge w:val="continue"/>
            <w:tcBorders>
              <w:top w:val="nil"/>
              <w:left w:val="single" w:color="000000" w:sz="6" w:space="0"/>
              <w:bottom w:val="nil"/>
              <w:right w:val="single" w:color="000000" w:sz="6" w:space="0"/>
            </w:tcBorders>
          </w:tcPr>
          <w:p>
            <w:pPr>
              <w:spacing w:after="0"/>
            </w:pPr>
          </w:p>
        </w:tc>
      </w:tr>
      <w:tr>
        <w:tblPrEx>
          <w:tblCellMar>
            <w:top w:w="32" w:type="dxa"/>
            <w:left w:w="29" w:type="dxa"/>
            <w:bottom w:w="0" w:type="dxa"/>
            <w:right w:w="41" w:type="dxa"/>
          </w:tblCellMar>
        </w:tblPrEx>
        <w:trPr>
          <w:trHeight w:val="58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49</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集成电路设计、软件设计、动漫设计企业及高新技术企业从事-国家税务总局规定的其他情形</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视同自产-14</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2"/>
              <w:jc w:val="center"/>
            </w:pPr>
            <w:r>
              <w:rPr>
                <w:rFonts w:ascii="宋体" w:hAnsi="宋体" w:eastAsia="宋体" w:cs="宋体"/>
                <w:sz w:val="17"/>
              </w:rPr>
              <w:t>STZC-14</w:t>
            </w:r>
          </w:p>
        </w:tc>
        <w:tc>
          <w:tcPr>
            <w:tcW w:w="0" w:type="auto"/>
            <w:vMerge w:val="continue"/>
            <w:tcBorders>
              <w:top w:val="nil"/>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41" w:type="dxa"/>
          </w:tblCellMar>
        </w:tblPrEx>
        <w:trPr>
          <w:trHeight w:val="353"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50</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销售给境外单位或个人，经保税区出口的货物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保税区</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25"/>
              <w:jc w:val="center"/>
            </w:pPr>
            <w:r>
              <w:rPr>
                <w:rFonts w:ascii="宋体" w:hAnsi="宋体" w:eastAsia="宋体" w:cs="宋体"/>
                <w:sz w:val="17"/>
              </w:rPr>
              <w:t>BSQ</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41" w:type="dxa"/>
          </w:tblCellMar>
        </w:tblPrEx>
        <w:trPr>
          <w:trHeight w:val="1159"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51</w:t>
            </w:r>
          </w:p>
        </w:tc>
        <w:tc>
          <w:tcPr>
            <w:tcW w:w="4234"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实行先退税后核销办法的生产企业出口的货物（先退税）</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先退后核（先退）</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25"/>
              <w:jc w:val="center"/>
            </w:pPr>
            <w:r>
              <w:rPr>
                <w:rFonts w:ascii="宋体" w:hAnsi="宋体" w:eastAsia="宋体" w:cs="宋体"/>
                <w:sz w:val="17"/>
              </w:rPr>
              <w:t>XTHH-XT</w:t>
            </w:r>
          </w:p>
        </w:tc>
        <w:tc>
          <w:tcPr>
            <w:tcW w:w="177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纳税人在交通运输工具或者机器设备按照会计制度规定做销售后申报免抵退税时填写XTHH-XT</w:t>
            </w:r>
          </w:p>
        </w:tc>
      </w:tr>
    </w:tbl>
    <w:p>
      <w:pPr>
        <w:spacing w:after="0"/>
        <w:ind w:left="-1440" w:right="10465"/>
      </w:pPr>
    </w:p>
    <w:tbl>
      <w:tblPr>
        <w:tblStyle w:val="5"/>
        <w:tblW w:w="9641" w:type="dxa"/>
        <w:tblInd w:w="-314" w:type="dxa"/>
        <w:tblLayout w:type="autofit"/>
        <w:tblCellMar>
          <w:top w:w="32" w:type="dxa"/>
          <w:left w:w="29" w:type="dxa"/>
          <w:bottom w:w="0" w:type="dxa"/>
          <w:right w:w="77" w:type="dxa"/>
        </w:tblCellMar>
      </w:tblPr>
      <w:tblGrid>
        <w:gridCol w:w="506"/>
        <w:gridCol w:w="4234"/>
        <w:gridCol w:w="1853"/>
        <w:gridCol w:w="1274"/>
        <w:gridCol w:w="1774"/>
      </w:tblGrid>
      <w:tr>
        <w:tblPrEx>
          <w:tblCellMar>
            <w:top w:w="32" w:type="dxa"/>
            <w:left w:w="29" w:type="dxa"/>
            <w:bottom w:w="0" w:type="dxa"/>
            <w:right w:w="77" w:type="dxa"/>
          </w:tblCellMar>
        </w:tblPrEx>
        <w:trPr>
          <w:trHeight w:val="247"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56"/>
              <w:jc w:val="both"/>
            </w:pPr>
            <w:r>
              <w:rPr>
                <w:rFonts w:ascii="宋体" w:hAnsi="宋体" w:eastAsia="宋体" w:cs="宋体"/>
                <w:sz w:val="17"/>
              </w:rPr>
              <w:t>序号</w:t>
            </w:r>
          </w:p>
        </w:tc>
        <w:tc>
          <w:tcPr>
            <w:tcW w:w="4234" w:type="dxa"/>
            <w:tcBorders>
              <w:top w:val="single" w:color="000000" w:sz="6" w:space="0"/>
              <w:left w:val="single" w:color="000000" w:sz="6" w:space="0"/>
              <w:bottom w:val="single" w:color="000000" w:sz="6" w:space="0"/>
              <w:right w:val="single" w:color="000000" w:sz="6" w:space="0"/>
            </w:tcBorders>
          </w:tcPr>
          <w:p>
            <w:pPr>
              <w:spacing w:after="0"/>
              <w:ind w:left="48"/>
              <w:jc w:val="center"/>
            </w:pPr>
            <w:r>
              <w:rPr>
                <w:rFonts w:ascii="宋体" w:hAnsi="宋体" w:eastAsia="宋体" w:cs="宋体"/>
                <w:sz w:val="17"/>
              </w:rPr>
              <w:t>业务描述</w:t>
            </w:r>
          </w:p>
        </w:tc>
        <w:tc>
          <w:tcPr>
            <w:tcW w:w="1853" w:type="dxa"/>
            <w:tcBorders>
              <w:top w:val="single" w:color="000000" w:sz="6" w:space="0"/>
              <w:left w:val="single" w:color="000000" w:sz="6" w:space="0"/>
              <w:bottom w:val="single" w:color="000000" w:sz="6" w:space="0"/>
              <w:right w:val="single" w:color="000000" w:sz="6" w:space="0"/>
            </w:tcBorders>
          </w:tcPr>
          <w:p>
            <w:pPr>
              <w:spacing w:after="0"/>
              <w:ind w:left="44"/>
              <w:jc w:val="center"/>
            </w:pPr>
            <w:r>
              <w:rPr>
                <w:rFonts w:ascii="宋体" w:hAnsi="宋体" w:eastAsia="宋体" w:cs="宋体"/>
                <w:sz w:val="17"/>
              </w:rPr>
              <w:t>业务类型名称</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89"/>
              <w:jc w:val="both"/>
            </w:pPr>
            <w:r>
              <w:rPr>
                <w:rFonts w:ascii="宋体" w:hAnsi="宋体" w:eastAsia="宋体" w:cs="宋体"/>
                <w:sz w:val="17"/>
              </w:rPr>
              <w:t>业务类型代码</w:t>
            </w:r>
          </w:p>
        </w:tc>
        <w:tc>
          <w:tcPr>
            <w:tcW w:w="1774" w:type="dxa"/>
            <w:tcBorders>
              <w:top w:val="single" w:color="000000" w:sz="6" w:space="0"/>
              <w:left w:val="single" w:color="000000" w:sz="6" w:space="0"/>
              <w:bottom w:val="single" w:color="000000" w:sz="6" w:space="0"/>
              <w:right w:val="single" w:color="000000" w:sz="6" w:space="0"/>
            </w:tcBorders>
          </w:tcPr>
          <w:p>
            <w:pPr>
              <w:spacing w:after="0"/>
              <w:ind w:left="56"/>
              <w:jc w:val="center"/>
            </w:pPr>
            <w:r>
              <w:rPr>
                <w:rFonts w:ascii="宋体" w:hAnsi="宋体" w:eastAsia="宋体" w:cs="宋体"/>
                <w:sz w:val="17"/>
              </w:rPr>
              <w:t>备注</w:t>
            </w:r>
          </w:p>
        </w:tc>
      </w:tr>
      <w:tr>
        <w:tblPrEx>
          <w:tblCellMar>
            <w:top w:w="32" w:type="dxa"/>
            <w:left w:w="29" w:type="dxa"/>
            <w:bottom w:w="0" w:type="dxa"/>
            <w:right w:w="77" w:type="dxa"/>
          </w:tblCellMar>
        </w:tblPrEx>
        <w:trPr>
          <w:trHeight w:val="1414"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52</w:t>
            </w:r>
          </w:p>
        </w:tc>
        <w:tc>
          <w:tcPr>
            <w:tcW w:w="4234"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实行先退税后核销办法的生产企业出口的货物（核销冲减）</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先退后核（冲减）</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61"/>
              <w:jc w:val="center"/>
            </w:pPr>
            <w:r>
              <w:rPr>
                <w:rFonts w:ascii="宋体" w:hAnsi="宋体" w:eastAsia="宋体" w:cs="宋体"/>
                <w:sz w:val="17"/>
              </w:rPr>
              <w:t>XTHH-CJ</w:t>
            </w:r>
          </w:p>
        </w:tc>
        <w:tc>
          <w:tcPr>
            <w:tcW w:w="1774" w:type="dxa"/>
            <w:tcBorders>
              <w:top w:val="single" w:color="000000" w:sz="6" w:space="0"/>
              <w:left w:val="single" w:color="000000" w:sz="6" w:space="0"/>
              <w:bottom w:val="single" w:color="000000" w:sz="6" w:space="0"/>
              <w:right w:val="single" w:color="000000" w:sz="6" w:space="0"/>
            </w:tcBorders>
          </w:tcPr>
          <w:p>
            <w:pPr>
              <w:spacing w:after="0" w:line="228" w:lineRule="auto"/>
            </w:pPr>
            <w:r>
              <w:rPr>
                <w:rFonts w:ascii="宋体" w:hAnsi="宋体" w:eastAsia="宋体" w:cs="宋体"/>
                <w:sz w:val="17"/>
              </w:rPr>
              <w:t>纳税人在交通运输工具或者机器设备报关出口后，收齐凭证申报免抵退税前，填写</w:t>
            </w:r>
          </w:p>
          <w:p>
            <w:pPr>
              <w:spacing w:after="0"/>
            </w:pPr>
            <w:r>
              <w:rPr>
                <w:rFonts w:ascii="宋体" w:hAnsi="宋体" w:eastAsia="宋体" w:cs="宋体"/>
                <w:sz w:val="17"/>
              </w:rPr>
              <w:t>XTHH-CJ，办理已退</w:t>
            </w:r>
          </w:p>
          <w:p>
            <w:pPr>
              <w:spacing w:after="0"/>
            </w:pPr>
            <w:r>
              <w:rPr>
                <w:rFonts w:ascii="宋体" w:hAnsi="宋体" w:eastAsia="宋体" w:cs="宋体"/>
                <w:sz w:val="17"/>
              </w:rPr>
              <w:t>（免）税的核销冲减</w:t>
            </w:r>
          </w:p>
        </w:tc>
      </w:tr>
      <w:tr>
        <w:tblPrEx>
          <w:tblCellMar>
            <w:top w:w="32" w:type="dxa"/>
            <w:left w:w="29" w:type="dxa"/>
            <w:bottom w:w="0" w:type="dxa"/>
            <w:right w:w="77" w:type="dxa"/>
          </w:tblCellMar>
        </w:tblPrEx>
        <w:trPr>
          <w:trHeight w:val="1202"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53</w:t>
            </w:r>
          </w:p>
        </w:tc>
        <w:tc>
          <w:tcPr>
            <w:tcW w:w="4234"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实行先退税后核销办法的生产企业出口的货物（核销退税）</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先退后核（后核）</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61"/>
              <w:jc w:val="center"/>
            </w:pPr>
            <w:r>
              <w:rPr>
                <w:rFonts w:ascii="宋体" w:hAnsi="宋体" w:eastAsia="宋体" w:cs="宋体"/>
                <w:sz w:val="17"/>
              </w:rPr>
              <w:t>XTHH-HX</w:t>
            </w:r>
          </w:p>
        </w:tc>
        <w:tc>
          <w:tcPr>
            <w:tcW w:w="1774" w:type="dxa"/>
            <w:tcBorders>
              <w:top w:val="single" w:color="000000" w:sz="6" w:space="0"/>
              <w:left w:val="single" w:color="000000" w:sz="6" w:space="0"/>
              <w:bottom w:val="single" w:color="000000" w:sz="6" w:space="0"/>
              <w:right w:val="single" w:color="000000" w:sz="6" w:space="0"/>
            </w:tcBorders>
          </w:tcPr>
          <w:p>
            <w:pPr>
              <w:spacing w:after="1" w:line="227" w:lineRule="auto"/>
            </w:pPr>
            <w:r>
              <w:rPr>
                <w:rFonts w:ascii="宋体" w:hAnsi="宋体" w:eastAsia="宋体" w:cs="宋体"/>
                <w:sz w:val="17"/>
              </w:rPr>
              <w:t>纳税人在交通运输工具或者机器设备报关出口后，收齐凭证申报免抵退税时，填写</w:t>
            </w:r>
          </w:p>
          <w:p>
            <w:pPr>
              <w:spacing w:after="0"/>
            </w:pPr>
            <w:r>
              <w:rPr>
                <w:rFonts w:ascii="宋体" w:hAnsi="宋体" w:eastAsia="宋体" w:cs="宋体"/>
                <w:sz w:val="17"/>
              </w:rPr>
              <w:t>XTHH-HX</w:t>
            </w:r>
          </w:p>
        </w:tc>
      </w:tr>
      <w:tr>
        <w:tblPrEx>
          <w:tblCellMar>
            <w:top w:w="32" w:type="dxa"/>
            <w:left w:w="29" w:type="dxa"/>
            <w:bottom w:w="0" w:type="dxa"/>
            <w:right w:w="77" w:type="dxa"/>
          </w:tblCellMar>
        </w:tblPrEx>
        <w:trPr>
          <w:trHeight w:val="691"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54</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边境地区一般贸易或者边境小额贸易项下以人民币结算的从所在省（自治区）的边境口岸出口到接壤毗邻国家，并采取银行转账人民币结算方式的出口货物</w:t>
            </w:r>
          </w:p>
        </w:tc>
        <w:tc>
          <w:tcPr>
            <w:tcW w:w="1853"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边贸</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61"/>
              <w:jc w:val="center"/>
            </w:pPr>
            <w:r>
              <w:rPr>
                <w:rFonts w:ascii="宋体" w:hAnsi="宋体" w:eastAsia="宋体" w:cs="宋体"/>
                <w:sz w:val="17"/>
              </w:rPr>
              <w:t>BM</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53"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55</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横琴、平潭购进水电气</w:t>
            </w:r>
          </w:p>
        </w:tc>
        <w:tc>
          <w:tcPr>
            <w:tcW w:w="1853" w:type="dxa"/>
            <w:tcBorders>
              <w:top w:val="single" w:color="000000" w:sz="6" w:space="0"/>
              <w:left w:val="single" w:color="000000" w:sz="6" w:space="0"/>
              <w:bottom w:val="single" w:color="000000" w:sz="6" w:space="0"/>
              <w:right w:val="single" w:color="000000" w:sz="6" w:space="0"/>
            </w:tcBorders>
          </w:tcPr>
          <w:p>
            <w:pPr>
              <w:spacing w:after="0"/>
              <w:jc w:val="both"/>
            </w:pPr>
            <w:r>
              <w:rPr>
                <w:rFonts w:ascii="宋体" w:hAnsi="宋体" w:eastAsia="宋体" w:cs="宋体"/>
                <w:sz w:val="17"/>
              </w:rPr>
              <w:t>横琴、平潭购进水电气</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5"/>
              <w:jc w:val="center"/>
            </w:pPr>
            <w:r>
              <w:rPr>
                <w:rFonts w:ascii="宋体" w:hAnsi="宋体" w:eastAsia="宋体" w:cs="宋体"/>
                <w:sz w:val="17"/>
              </w:rPr>
              <w:t>GJSDQ</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rPr>
          <w:trHeight w:val="425" w:hRule="atLeast"/>
        </w:trPr>
        <w:tc>
          <w:tcPr>
            <w:tcW w:w="506" w:type="dxa"/>
            <w:tcBorders>
              <w:top w:val="single" w:color="000000" w:sz="6" w:space="0"/>
              <w:left w:val="single" w:color="000000" w:sz="6" w:space="0"/>
              <w:bottom w:val="single" w:color="000000" w:sz="6" w:space="0"/>
              <w:right w:val="single" w:color="000000" w:sz="6" w:space="0"/>
            </w:tcBorders>
            <w:vAlign w:val="center"/>
          </w:tcPr>
          <w:p>
            <w:pPr>
              <w:spacing w:after="0"/>
              <w:ind w:left="144"/>
            </w:pPr>
            <w:r>
              <w:rPr>
                <w:rFonts w:ascii="宋体" w:hAnsi="宋体" w:eastAsia="宋体" w:cs="宋体"/>
                <w:sz w:val="17"/>
              </w:rPr>
              <w:t>56</w:t>
            </w:r>
          </w:p>
        </w:tc>
        <w:tc>
          <w:tcPr>
            <w:tcW w:w="4234" w:type="dxa"/>
            <w:tcBorders>
              <w:top w:val="single" w:color="000000" w:sz="6" w:space="0"/>
              <w:left w:val="single" w:color="000000" w:sz="6" w:space="0"/>
              <w:bottom w:val="single" w:color="000000" w:sz="6" w:space="0"/>
              <w:right w:val="single" w:color="000000" w:sz="6" w:space="0"/>
            </w:tcBorders>
            <w:vAlign w:val="center"/>
          </w:tcPr>
          <w:p>
            <w:pPr>
              <w:spacing w:after="0"/>
            </w:pPr>
            <w:r>
              <w:rPr>
                <w:rFonts w:ascii="宋体" w:hAnsi="宋体" w:eastAsia="宋体" w:cs="宋体"/>
                <w:sz w:val="17"/>
              </w:rPr>
              <w:t>横琴、平潭购进货物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横琴、平潭购货企业退税</w:t>
            </w:r>
          </w:p>
        </w:tc>
        <w:tc>
          <w:tcPr>
            <w:tcW w:w="1274" w:type="dxa"/>
            <w:tcBorders>
              <w:top w:val="single" w:color="000000" w:sz="6" w:space="0"/>
              <w:left w:val="single" w:color="000000" w:sz="6" w:space="0"/>
              <w:bottom w:val="single" w:color="000000" w:sz="6" w:space="0"/>
              <w:right w:val="single" w:color="000000" w:sz="6" w:space="0"/>
            </w:tcBorders>
            <w:vAlign w:val="center"/>
          </w:tcPr>
          <w:p>
            <w:pPr>
              <w:spacing w:after="0"/>
              <w:ind w:left="56"/>
              <w:jc w:val="center"/>
            </w:pPr>
            <w:r>
              <w:rPr>
                <w:rFonts w:ascii="宋体" w:hAnsi="宋体" w:eastAsia="宋体" w:cs="宋体"/>
                <w:sz w:val="17"/>
              </w:rPr>
              <w:t>GHQYTS</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57</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融资租赁出口的货物及海洋工程结构物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融资租赁</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0"/>
              <w:jc w:val="center"/>
            </w:pPr>
            <w:r>
              <w:rPr>
                <w:rFonts w:ascii="宋体" w:hAnsi="宋体" w:eastAsia="宋体" w:cs="宋体"/>
                <w:sz w:val="17"/>
              </w:rPr>
              <w:t>RZZL</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58</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启运港退税的出口货物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启运港退税</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5"/>
              <w:jc w:val="center"/>
            </w:pPr>
            <w:r>
              <w:rPr>
                <w:rFonts w:ascii="宋体" w:hAnsi="宋体" w:eastAsia="宋体" w:cs="宋体"/>
                <w:sz w:val="17"/>
              </w:rPr>
              <w:t>QYGTS</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59</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向国际航行船舶加注的燃料油</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燃料油</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1"/>
              <w:jc w:val="center"/>
            </w:pPr>
            <w:r>
              <w:rPr>
                <w:rFonts w:ascii="宋体" w:hAnsi="宋体" w:eastAsia="宋体" w:cs="宋体"/>
                <w:sz w:val="17"/>
              </w:rPr>
              <w:t>RLY</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60</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研发机构采购国产设备</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国产设备退税</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0"/>
              <w:jc w:val="center"/>
            </w:pPr>
            <w:r>
              <w:rPr>
                <w:rFonts w:ascii="宋体" w:hAnsi="宋体" w:eastAsia="宋体" w:cs="宋体"/>
                <w:sz w:val="17"/>
              </w:rPr>
              <w:t>GCSB</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61</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离境即预先退税的出口海外仓货物</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海外仓预退</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1"/>
              <w:jc w:val="center"/>
            </w:pPr>
            <w:r>
              <w:rPr>
                <w:rFonts w:ascii="宋体" w:hAnsi="宋体" w:eastAsia="宋体" w:cs="宋体"/>
                <w:sz w:val="17"/>
              </w:rPr>
              <w:t>HWC-YT</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62</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运输企业购进船舶退税</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船舶退税</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0"/>
              <w:jc w:val="center"/>
            </w:pPr>
            <w:r>
              <w:rPr>
                <w:rFonts w:ascii="宋体" w:hAnsi="宋体" w:eastAsia="宋体" w:cs="宋体"/>
                <w:sz w:val="17"/>
              </w:rPr>
              <w:t>CBTS</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63</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未列明商品</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未列明商品</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55"/>
              <w:jc w:val="center"/>
            </w:pPr>
            <w:r>
              <w:rPr>
                <w:rFonts w:ascii="宋体" w:hAnsi="宋体" w:eastAsia="宋体" w:cs="宋体"/>
                <w:sz w:val="17"/>
              </w:rPr>
              <w:t>WLMSP</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64</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易货贸易</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易货贸易</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0"/>
              <w:jc w:val="center"/>
            </w:pPr>
            <w:r>
              <w:rPr>
                <w:rFonts w:ascii="宋体" w:hAnsi="宋体" w:eastAsia="宋体" w:cs="宋体"/>
                <w:sz w:val="17"/>
              </w:rPr>
              <w:t>YHMY</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65</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红字冲减</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红字冲减</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0"/>
              <w:jc w:val="center"/>
            </w:pPr>
            <w:r>
              <w:rPr>
                <w:rFonts w:ascii="宋体" w:hAnsi="宋体" w:eastAsia="宋体" w:cs="宋体"/>
                <w:sz w:val="17"/>
              </w:rPr>
              <w:t>HZCJ</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32" w:type="dxa"/>
            <w:left w:w="29" w:type="dxa"/>
            <w:bottom w:w="0" w:type="dxa"/>
            <w:right w:w="77" w:type="dxa"/>
          </w:tblCellMar>
        </w:tblPrEx>
        <w:trPr>
          <w:trHeight w:val="324" w:hRule="atLeast"/>
        </w:trPr>
        <w:tc>
          <w:tcPr>
            <w:tcW w:w="506" w:type="dxa"/>
            <w:tcBorders>
              <w:top w:val="single" w:color="000000" w:sz="6" w:space="0"/>
              <w:left w:val="single" w:color="000000" w:sz="6" w:space="0"/>
              <w:bottom w:val="single" w:color="000000" w:sz="6" w:space="0"/>
              <w:right w:val="single" w:color="000000" w:sz="6" w:space="0"/>
            </w:tcBorders>
          </w:tcPr>
          <w:p>
            <w:pPr>
              <w:spacing w:after="0"/>
              <w:ind w:left="144"/>
            </w:pPr>
            <w:r>
              <w:rPr>
                <w:rFonts w:ascii="宋体" w:hAnsi="宋体" w:eastAsia="宋体" w:cs="宋体"/>
                <w:sz w:val="17"/>
              </w:rPr>
              <w:t>66</w:t>
            </w:r>
          </w:p>
        </w:tc>
        <w:tc>
          <w:tcPr>
            <w:tcW w:w="4234"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红字冲减（退运）</w:t>
            </w:r>
          </w:p>
        </w:tc>
        <w:tc>
          <w:tcPr>
            <w:tcW w:w="1853" w:type="dxa"/>
            <w:tcBorders>
              <w:top w:val="single" w:color="000000" w:sz="6" w:space="0"/>
              <w:left w:val="single" w:color="000000" w:sz="6" w:space="0"/>
              <w:bottom w:val="single" w:color="000000" w:sz="6" w:space="0"/>
              <w:right w:val="single" w:color="000000" w:sz="6" w:space="0"/>
            </w:tcBorders>
          </w:tcPr>
          <w:p>
            <w:pPr>
              <w:spacing w:after="0"/>
            </w:pPr>
            <w:r>
              <w:rPr>
                <w:rFonts w:ascii="宋体" w:hAnsi="宋体" w:eastAsia="宋体" w:cs="宋体"/>
                <w:sz w:val="17"/>
              </w:rPr>
              <w:t>红字冲减（退运）</w:t>
            </w:r>
          </w:p>
        </w:tc>
        <w:tc>
          <w:tcPr>
            <w:tcW w:w="1274" w:type="dxa"/>
            <w:tcBorders>
              <w:top w:val="single" w:color="000000" w:sz="6" w:space="0"/>
              <w:left w:val="single" w:color="000000" w:sz="6" w:space="0"/>
              <w:bottom w:val="single" w:color="000000" w:sz="6" w:space="0"/>
              <w:right w:val="single" w:color="000000" w:sz="6" w:space="0"/>
            </w:tcBorders>
          </w:tcPr>
          <w:p>
            <w:pPr>
              <w:spacing w:after="0"/>
              <w:ind w:left="61"/>
              <w:jc w:val="center"/>
            </w:pPr>
            <w:r>
              <w:rPr>
                <w:rFonts w:ascii="宋体" w:hAnsi="宋体" w:eastAsia="宋体" w:cs="宋体"/>
                <w:sz w:val="17"/>
              </w:rPr>
              <w:t>HZCJ-TY</w:t>
            </w:r>
          </w:p>
        </w:tc>
        <w:tc>
          <w:tcPr>
            <w:tcW w:w="1774" w:type="dxa"/>
            <w:tcBorders>
              <w:top w:val="single" w:color="000000" w:sz="6" w:space="0"/>
              <w:left w:val="single" w:color="000000" w:sz="6" w:space="0"/>
              <w:bottom w:val="single" w:color="000000" w:sz="6" w:space="0"/>
              <w:right w:val="single" w:color="000000" w:sz="6" w:space="0"/>
            </w:tcBorders>
          </w:tcPr>
          <w:p>
            <w:pPr>
              <w:spacing w:after="0"/>
            </w:pPr>
          </w:p>
        </w:tc>
      </w:tr>
    </w:tbl>
    <w:p>
      <w:pPr>
        <w:sectPr>
          <w:headerReference r:id="rId7" w:type="first"/>
          <w:footerReference r:id="rId10" w:type="first"/>
          <w:headerReference r:id="rId5" w:type="default"/>
          <w:footerReference r:id="rId8" w:type="default"/>
          <w:headerReference r:id="rId6" w:type="even"/>
          <w:footerReference r:id="rId9" w:type="even"/>
          <w:pgSz w:w="11905" w:h="16837"/>
          <w:pgMar w:top="1440" w:right="1440" w:bottom="1440" w:left="1440" w:header="720" w:footer="446"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7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2026-02-11T03:30:39Z</dcterms:created>
  <dc:creator>fzr</dc:creator>
  <cp:lastModifiedBy>fzr</cp:lastModifiedBy>
  <dcterms:modified xsi:type="dcterms:W3CDTF">2026-02-11T03:30:45Z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