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440" w:right="10465"/>
      </w:pPr>
    </w:p>
    <w:tbl>
      <w:tblPr>
        <w:tblStyle w:val="4"/>
        <w:tblW w:w="11126" w:type="dxa"/>
        <w:tblInd w:w="-1058" w:type="dxa"/>
        <w:tblLayout w:type="autofit"/>
        <w:tblCellMar>
          <w:top w:w="0" w:type="dxa"/>
          <w:left w:w="35" w:type="dxa"/>
          <w:bottom w:w="0" w:type="dxa"/>
          <w:right w:w="21" w:type="dxa"/>
        </w:tblCellMar>
      </w:tblPr>
      <w:tblGrid>
        <w:gridCol w:w="516"/>
        <w:gridCol w:w="1320"/>
        <w:gridCol w:w="6463"/>
        <w:gridCol w:w="2827"/>
      </w:tblGrid>
      <w:tr>
        <w:tblPrEx>
          <w:tblCellMar>
            <w:top w:w="0" w:type="dxa"/>
            <w:left w:w="35" w:type="dxa"/>
            <w:bottom w:w="0" w:type="dxa"/>
            <w:right w:w="21" w:type="dxa"/>
          </w:tblCellMar>
        </w:tblPrEx>
        <w:trPr>
          <w:trHeight w:val="482"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0"/>
              <w:jc w:val="both"/>
            </w:pPr>
            <w:r>
              <w:rPr>
                <w:rFonts w:ascii="宋体" w:hAnsi="宋体" w:eastAsia="宋体" w:cs="宋体"/>
              </w:rPr>
              <w:t>序号</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ind w:left="192"/>
            </w:pPr>
            <w:r>
              <w:rPr>
                <w:rFonts w:ascii="宋体" w:hAnsi="宋体" w:eastAsia="宋体" w:cs="宋体"/>
              </w:rPr>
              <w:t>证明类型</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证明开具规定</w:t>
            </w:r>
          </w:p>
        </w:tc>
        <w:tc>
          <w:tcPr>
            <w:tcW w:w="2827" w:type="dxa"/>
            <w:tcBorders>
              <w:top w:val="single" w:color="000000" w:sz="6" w:space="0"/>
              <w:left w:val="single" w:color="000000" w:sz="6" w:space="0"/>
              <w:bottom w:val="single" w:color="000000" w:sz="6" w:space="0"/>
              <w:right w:val="single" w:color="000000" w:sz="6" w:space="0"/>
            </w:tcBorders>
            <w:vAlign w:val="center"/>
          </w:tcPr>
          <w:p>
            <w:pPr>
              <w:spacing w:after="0"/>
              <w:ind w:left="3"/>
            </w:pPr>
            <w:r>
              <w:rPr>
                <w:rFonts w:ascii="宋体" w:hAnsi="宋体" w:eastAsia="宋体" w:cs="宋体"/>
              </w:rPr>
              <w:t>附送资料</w:t>
            </w:r>
          </w:p>
        </w:tc>
      </w:tr>
      <w:tr>
        <w:tblPrEx>
          <w:tblCellMar>
            <w:top w:w="0" w:type="dxa"/>
            <w:left w:w="35" w:type="dxa"/>
            <w:bottom w:w="0" w:type="dxa"/>
            <w:right w:w="21" w:type="dxa"/>
          </w:tblCellMar>
        </w:tblPrEx>
        <w:trPr>
          <w:trHeight w:val="2513"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1</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委托出口货物证明</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line="225" w:lineRule="auto"/>
            </w:pPr>
            <w:r>
              <w:rPr>
                <w:rFonts w:ascii="宋体" w:hAnsi="宋体" w:eastAsia="宋体" w:cs="宋体"/>
              </w:rPr>
              <w:t xml:space="preserve">    委托出口财政部和税务总局根据国务院决定明确的取消出口退（免）税的货物，委托方应当自货物报关出口之日起至次月的增值税、消费税纳税申报期内，向主管税务机关申请开具《委托出口货物证明》并及时转交受托方，受托方持此证明向主管税务机关申请开具《代理出口货物证明》。超过货物报关出口之日起三十六个月未申请开具的，不得开具。</w:t>
            </w:r>
          </w:p>
          <w:p>
            <w:pPr>
              <w:spacing w:after="0"/>
              <w:jc w:val="both"/>
            </w:pPr>
            <w:r>
              <w:rPr>
                <w:rFonts w:ascii="宋体" w:hAnsi="宋体" w:eastAsia="宋体" w:cs="宋体"/>
              </w:rPr>
              <w:t xml:space="preserve">    2025年12月31日（含当日）前委托出口的货物，不受上述开具期限的限制。</w:t>
            </w:r>
          </w:p>
        </w:tc>
        <w:tc>
          <w:tcPr>
            <w:tcW w:w="2827" w:type="dxa"/>
            <w:tcBorders>
              <w:top w:val="single" w:color="000000" w:sz="6" w:space="0"/>
              <w:left w:val="single" w:color="000000" w:sz="6" w:space="0"/>
              <w:bottom w:val="single" w:color="000000" w:sz="6" w:space="0"/>
              <w:right w:val="single" w:color="000000" w:sz="6" w:space="0"/>
            </w:tcBorders>
            <w:vAlign w:val="center"/>
          </w:tcPr>
          <w:p>
            <w:pPr>
              <w:numPr>
                <w:ilvl w:val="0"/>
                <w:numId w:val="1"/>
              </w:numPr>
              <w:spacing w:after="0"/>
            </w:pPr>
            <w:r>
              <w:rPr>
                <w:rFonts w:ascii="宋体" w:hAnsi="宋体" w:eastAsia="宋体" w:cs="宋体"/>
              </w:rPr>
              <w:t>代理出口协议；</w:t>
            </w:r>
          </w:p>
          <w:p>
            <w:pPr>
              <w:numPr>
                <w:ilvl w:val="0"/>
                <w:numId w:val="1"/>
              </w:numPr>
              <w:spacing w:after="0"/>
            </w:pPr>
            <w:r>
              <w:rPr>
                <w:rFonts w:ascii="宋体" w:hAnsi="宋体" w:eastAsia="宋体" w:cs="宋体"/>
              </w:rPr>
              <w:t>市级以上税务机关要求报送的其他资料。</w:t>
            </w:r>
          </w:p>
        </w:tc>
      </w:tr>
      <w:tr>
        <w:tblPrEx>
          <w:tblCellMar>
            <w:top w:w="0" w:type="dxa"/>
            <w:left w:w="35" w:type="dxa"/>
            <w:bottom w:w="0" w:type="dxa"/>
            <w:right w:w="21" w:type="dxa"/>
          </w:tblCellMar>
        </w:tblPrEx>
        <w:trPr>
          <w:trHeight w:val="1870"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2</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代理出口货物证明</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1" w:line="225" w:lineRule="auto"/>
            </w:pPr>
            <w:r>
              <w:rPr>
                <w:rFonts w:ascii="宋体" w:hAnsi="宋体" w:eastAsia="宋体" w:cs="宋体"/>
              </w:rPr>
              <w:t xml:space="preserve">    委托出口货物的，受托方应当按照规定向主管税务机关申请开具《代理出口货物证明》，开具时间不得晚于货物报关出口之日起三十六个月。超过上述期限未申请开具的，或者申请开具时委托方状态为非正常或者已注销的，不得开具。</w:t>
            </w:r>
          </w:p>
          <w:p>
            <w:pPr>
              <w:spacing w:after="0"/>
              <w:jc w:val="both"/>
            </w:pPr>
            <w:r>
              <w:rPr>
                <w:rFonts w:ascii="宋体" w:hAnsi="宋体" w:eastAsia="宋体" w:cs="宋体"/>
              </w:rPr>
              <w:t xml:space="preserve">    2025年12月31日（含当日）前委托出口的货物，不受上述开具期限的限制。</w:t>
            </w:r>
          </w:p>
        </w:tc>
        <w:tc>
          <w:tcPr>
            <w:tcW w:w="2827" w:type="dxa"/>
            <w:tcBorders>
              <w:top w:val="single" w:color="000000" w:sz="6" w:space="0"/>
              <w:left w:val="single" w:color="000000" w:sz="6" w:space="0"/>
              <w:bottom w:val="single" w:color="000000" w:sz="6" w:space="0"/>
              <w:right w:val="single" w:color="000000" w:sz="6" w:space="0"/>
            </w:tcBorders>
            <w:vAlign w:val="center"/>
          </w:tcPr>
          <w:p>
            <w:pPr>
              <w:numPr>
                <w:ilvl w:val="0"/>
                <w:numId w:val="2"/>
              </w:numPr>
              <w:spacing w:after="0"/>
            </w:pPr>
            <w:r>
              <w:rPr>
                <w:rFonts w:ascii="宋体" w:hAnsi="宋体" w:eastAsia="宋体" w:cs="宋体"/>
              </w:rPr>
              <w:t>代理出口协议；</w:t>
            </w:r>
          </w:p>
          <w:p>
            <w:pPr>
              <w:numPr>
                <w:ilvl w:val="0"/>
                <w:numId w:val="2"/>
              </w:numPr>
              <w:spacing w:after="0"/>
            </w:pPr>
            <w:r>
              <w:rPr>
                <w:rFonts w:ascii="宋体" w:hAnsi="宋体" w:eastAsia="宋体" w:cs="宋体"/>
              </w:rPr>
              <w:t>出口货物报关单；</w:t>
            </w:r>
          </w:p>
          <w:p>
            <w:pPr>
              <w:numPr>
                <w:ilvl w:val="0"/>
                <w:numId w:val="2"/>
              </w:numPr>
              <w:spacing w:after="0"/>
            </w:pPr>
            <w:r>
              <w:rPr>
                <w:rFonts w:ascii="宋体" w:hAnsi="宋体" w:eastAsia="宋体" w:cs="宋体"/>
              </w:rPr>
              <w:t>委托方营业执照；</w:t>
            </w:r>
          </w:p>
          <w:p>
            <w:pPr>
              <w:numPr>
                <w:ilvl w:val="0"/>
                <w:numId w:val="2"/>
              </w:numPr>
              <w:spacing w:after="0"/>
            </w:pPr>
            <w:r>
              <w:rPr>
                <w:rFonts w:ascii="宋体" w:hAnsi="宋体" w:eastAsia="宋体" w:cs="宋体"/>
              </w:rPr>
              <w:t>市级以上税务机关要求报送的其他资料。</w:t>
            </w:r>
          </w:p>
        </w:tc>
      </w:tr>
      <w:tr>
        <w:tblPrEx>
          <w:tblCellMar>
            <w:top w:w="0" w:type="dxa"/>
            <w:left w:w="35" w:type="dxa"/>
            <w:bottom w:w="0" w:type="dxa"/>
            <w:right w:w="21" w:type="dxa"/>
          </w:tblCellMar>
        </w:tblPrEx>
        <w:trPr>
          <w:trHeight w:val="1531"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3</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代理进口货物证明</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rPr>
              <w:t xml:space="preserve">    委托进口加工贸易料件的，受托方应当向主管税务机关申请开具《代理进口货物证明》，并及时转交委托方。</w:t>
            </w:r>
          </w:p>
        </w:tc>
        <w:tc>
          <w:tcPr>
            <w:tcW w:w="2827" w:type="dxa"/>
            <w:tcBorders>
              <w:top w:val="single" w:color="000000" w:sz="6" w:space="0"/>
              <w:left w:val="single" w:color="000000" w:sz="6" w:space="0"/>
              <w:bottom w:val="single" w:color="000000" w:sz="6" w:space="0"/>
              <w:right w:val="single" w:color="000000" w:sz="6" w:space="0"/>
            </w:tcBorders>
            <w:vAlign w:val="center"/>
          </w:tcPr>
          <w:p>
            <w:pPr>
              <w:numPr>
                <w:ilvl w:val="0"/>
                <w:numId w:val="3"/>
              </w:numPr>
              <w:spacing w:after="0" w:line="225" w:lineRule="auto"/>
            </w:pPr>
            <w:r>
              <w:rPr>
                <w:rFonts w:ascii="宋体" w:hAnsi="宋体" w:eastAsia="宋体" w:cs="宋体"/>
              </w:rPr>
              <w:t>加工贸易手（账）册；</w:t>
            </w:r>
          </w:p>
          <w:p>
            <w:pPr>
              <w:numPr>
                <w:ilvl w:val="0"/>
                <w:numId w:val="3"/>
              </w:numPr>
              <w:spacing w:after="0"/>
            </w:pPr>
            <w:r>
              <w:rPr>
                <w:rFonts w:ascii="宋体" w:hAnsi="宋体" w:eastAsia="宋体" w:cs="宋体"/>
              </w:rPr>
              <w:t>代理进口协议；</w:t>
            </w:r>
          </w:p>
          <w:p>
            <w:pPr>
              <w:numPr>
                <w:ilvl w:val="0"/>
                <w:numId w:val="3"/>
              </w:numPr>
              <w:spacing w:after="0"/>
            </w:pPr>
            <w:r>
              <w:rPr>
                <w:rFonts w:ascii="宋体" w:hAnsi="宋体" w:eastAsia="宋体" w:cs="宋体"/>
              </w:rPr>
              <w:t>市级以上税务机关要求报送的其他资料。</w:t>
            </w:r>
          </w:p>
        </w:tc>
      </w:tr>
      <w:tr>
        <w:tblPrEx>
          <w:tblCellMar>
            <w:top w:w="0" w:type="dxa"/>
            <w:left w:w="35" w:type="dxa"/>
            <w:bottom w:w="0" w:type="dxa"/>
            <w:right w:w="21" w:type="dxa"/>
          </w:tblCellMar>
        </w:tblPrEx>
        <w:trPr>
          <w:trHeight w:val="7289"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4</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出口业务转内销证明</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line="225" w:lineRule="auto"/>
            </w:pPr>
            <w:r>
              <w:rPr>
                <w:rFonts w:ascii="宋体" w:hAnsi="宋体" w:eastAsia="宋体" w:cs="宋体"/>
              </w:rPr>
              <w:t xml:space="preserve">    适用免退税办法的纳税人发生原记入出口库存账的出口业务转内销或者视同内销业务征税的，以及已申报退（免）税的出口货物发生退运并转内销的，可以向主管税务机关申请开具《出口业务转内销证明》。原适用免退税办法的纳税人，在退（免）税办法变更后，可将原记入出口库存账且未申报免退税的出口业务向主管税务机关申请开具《出口业务转内销证明》。《出口业务转内销证明》上注明的税额可作为进项税额进行抵扣。</w:t>
            </w:r>
          </w:p>
          <w:p>
            <w:pPr>
              <w:spacing w:after="0" w:line="226" w:lineRule="auto"/>
            </w:pPr>
            <w:r>
              <w:rPr>
                <w:rFonts w:ascii="宋体" w:hAnsi="宋体" w:eastAsia="宋体" w:cs="宋体"/>
              </w:rPr>
              <w:t xml:space="preserve">    适用免退税办法的纳税人提供的增值税专用发票或者其他增值税扣税凭证无对应的销售方纳税申报信息，或者存在以下情形之一的，不得申请开具《出口业务转内销证明》。已开具的，应当将原取得的《出口业务转内销证明》涉及的进项税额做转出处理：</w:t>
            </w:r>
          </w:p>
          <w:p>
            <w:pPr>
              <w:spacing w:after="0" w:line="225" w:lineRule="auto"/>
            </w:pPr>
            <w:r>
              <w:rPr>
                <w:rFonts w:ascii="宋体" w:hAnsi="宋体" w:eastAsia="宋体" w:cs="宋体"/>
              </w:rPr>
              <w:t xml:space="preserve">    1.提供的增值税专用发票或者海关进口增值税专用缴款书为虚开、伪造或者内容不实；</w:t>
            </w:r>
          </w:p>
          <w:p>
            <w:pPr>
              <w:spacing w:after="2" w:line="224" w:lineRule="auto"/>
            </w:pPr>
            <w:r>
              <w:rPr>
                <w:rFonts w:ascii="宋体" w:hAnsi="宋体" w:eastAsia="宋体" w:cs="宋体"/>
              </w:rPr>
              <w:t xml:space="preserve">    2.提供的增值税专用发票为增值税异常扣税凭证（经税务机关核实，符合现行增值税进项税额抵扣相关规定的除外）；</w:t>
            </w:r>
          </w:p>
          <w:p>
            <w:pPr>
              <w:spacing w:after="0" w:line="226" w:lineRule="auto"/>
            </w:pPr>
            <w:r>
              <w:rPr>
                <w:rFonts w:ascii="宋体" w:hAnsi="宋体" w:eastAsia="宋体" w:cs="宋体"/>
              </w:rPr>
              <w:t xml:space="preserve">    3.外贸企业出口业务转内销时申报的《出口业务转内销证明》的购进凭证上载明的货物与申报免退税匹配的出口货物报关单上载明的出口货物名称不符。属同一货物的多种零部件合并报关为同一商品名称的除外；</w:t>
            </w:r>
          </w:p>
          <w:p>
            <w:pPr>
              <w:spacing w:after="0" w:line="225" w:lineRule="auto"/>
            </w:pPr>
            <w:r>
              <w:rPr>
                <w:rFonts w:ascii="宋体" w:hAnsi="宋体" w:eastAsia="宋体" w:cs="宋体"/>
              </w:rPr>
              <w:t xml:space="preserve">    4.供货企业销售的自产货物、服务、无形资产，其生产设备、工具等不能生产该货物、提供该服务或者形成该无形资产；</w:t>
            </w:r>
          </w:p>
          <w:p>
            <w:pPr>
              <w:spacing w:after="0" w:line="225" w:lineRule="auto"/>
              <w:jc w:val="both"/>
            </w:pPr>
            <w:r>
              <w:rPr>
                <w:rFonts w:ascii="宋体" w:hAnsi="宋体" w:eastAsia="宋体" w:cs="宋体"/>
              </w:rPr>
              <w:t xml:space="preserve">    5.供货企业销售的外购货物、服务、无形资产，其购进业务为虚假业务；</w:t>
            </w:r>
          </w:p>
          <w:p>
            <w:pPr>
              <w:spacing w:after="0" w:line="226" w:lineRule="auto"/>
              <w:jc w:val="both"/>
            </w:pPr>
            <w:r>
              <w:rPr>
                <w:rFonts w:ascii="宋体" w:hAnsi="宋体" w:eastAsia="宋体" w:cs="宋体"/>
              </w:rPr>
              <w:t xml:space="preserve">    6.供货企业销售的委托加工收回货物，其委托加工业务为虚假业务；</w:t>
            </w:r>
          </w:p>
          <w:p>
            <w:pPr>
              <w:spacing w:after="0"/>
            </w:pPr>
            <w:r>
              <w:rPr>
                <w:rFonts w:ascii="宋体" w:hAnsi="宋体" w:eastAsia="宋体" w:cs="宋体"/>
              </w:rPr>
              <w:t xml:space="preserve">    7.其他购进业务为虚假的情形。</w:t>
            </w:r>
          </w:p>
        </w:tc>
        <w:tc>
          <w:tcPr>
            <w:tcW w:w="2827" w:type="dxa"/>
            <w:tcBorders>
              <w:top w:val="single" w:color="000000" w:sz="6" w:space="0"/>
              <w:left w:val="single" w:color="000000" w:sz="6" w:space="0"/>
              <w:bottom w:val="single" w:color="000000" w:sz="6" w:space="0"/>
              <w:right w:val="single" w:color="000000" w:sz="6" w:space="0"/>
            </w:tcBorders>
            <w:vAlign w:val="center"/>
          </w:tcPr>
          <w:p>
            <w:pPr>
              <w:numPr>
                <w:ilvl w:val="0"/>
                <w:numId w:val="4"/>
              </w:numPr>
              <w:spacing w:after="0" w:line="226" w:lineRule="auto"/>
            </w:pPr>
            <w:r>
              <w:rPr>
                <w:rFonts w:ascii="宋体" w:hAnsi="宋体" w:eastAsia="宋体" w:cs="宋体"/>
              </w:rPr>
              <w:t>增值税专用发票、海关进口增值税专用缴款书；</w:t>
            </w:r>
          </w:p>
          <w:p>
            <w:pPr>
              <w:numPr>
                <w:ilvl w:val="0"/>
                <w:numId w:val="4"/>
              </w:numPr>
              <w:spacing w:after="0" w:line="225" w:lineRule="auto"/>
            </w:pPr>
            <w:r>
              <w:rPr>
                <w:rFonts w:ascii="宋体" w:hAnsi="宋体" w:eastAsia="宋体" w:cs="宋体"/>
              </w:rPr>
              <w:t>转内销或者视同内销，还需报送下列资料：</w:t>
            </w:r>
          </w:p>
          <w:p>
            <w:pPr>
              <w:spacing w:after="0" w:line="225" w:lineRule="auto"/>
              <w:ind w:left="3"/>
            </w:pPr>
            <w:r>
              <w:rPr>
                <w:rFonts w:ascii="宋体" w:hAnsi="宋体" w:eastAsia="宋体" w:cs="宋体"/>
              </w:rPr>
              <w:t xml:space="preserve"> 1.内销业务发票（转内销的情况报送）；</w:t>
            </w:r>
          </w:p>
          <w:p>
            <w:pPr>
              <w:spacing w:after="0"/>
              <w:ind w:left="3"/>
              <w:jc w:val="both"/>
            </w:pPr>
            <w:r>
              <w:rPr>
                <w:rFonts w:ascii="宋体" w:hAnsi="宋体" w:eastAsia="宋体" w:cs="宋体"/>
              </w:rPr>
              <w:t xml:space="preserve"> 2.计提销项税的记账凭证</w:t>
            </w:r>
          </w:p>
          <w:p>
            <w:pPr>
              <w:spacing w:after="0"/>
              <w:ind w:left="3"/>
              <w:jc w:val="both"/>
            </w:pPr>
            <w:r>
              <w:rPr>
                <w:rFonts w:ascii="宋体" w:hAnsi="宋体" w:eastAsia="宋体" w:cs="宋体"/>
              </w:rPr>
              <w:t>（视同内销的情况报送）；</w:t>
            </w:r>
          </w:p>
          <w:p>
            <w:pPr>
              <w:numPr>
                <w:ilvl w:val="0"/>
                <w:numId w:val="4"/>
              </w:numPr>
              <w:spacing w:after="0"/>
            </w:pPr>
            <w:r>
              <w:rPr>
                <w:rFonts w:ascii="宋体" w:hAnsi="宋体" w:eastAsia="宋体" w:cs="宋体"/>
              </w:rPr>
              <w:t>市级以上税务机关要求报送的其他资料。</w:t>
            </w:r>
          </w:p>
        </w:tc>
      </w:tr>
    </w:tbl>
    <w:p>
      <w:pPr>
        <w:spacing w:after="0"/>
        <w:ind w:left="-1440" w:right="10465"/>
      </w:pPr>
    </w:p>
    <w:tbl>
      <w:tblPr>
        <w:tblStyle w:val="4"/>
        <w:tblW w:w="11126" w:type="dxa"/>
        <w:tblInd w:w="-1058" w:type="dxa"/>
        <w:tblLayout w:type="autofit"/>
        <w:tblCellMar>
          <w:top w:w="123" w:type="dxa"/>
          <w:left w:w="35" w:type="dxa"/>
          <w:bottom w:w="0" w:type="dxa"/>
          <w:right w:w="22" w:type="dxa"/>
        </w:tblCellMar>
      </w:tblPr>
      <w:tblGrid>
        <w:gridCol w:w="516"/>
        <w:gridCol w:w="1320"/>
        <w:gridCol w:w="6463"/>
        <w:gridCol w:w="2827"/>
      </w:tblGrid>
      <w:tr>
        <w:tblPrEx>
          <w:tblCellMar>
            <w:top w:w="123" w:type="dxa"/>
            <w:left w:w="35" w:type="dxa"/>
            <w:bottom w:w="0" w:type="dxa"/>
            <w:right w:w="22" w:type="dxa"/>
          </w:tblCellMar>
        </w:tblPrEx>
        <w:trPr>
          <w:trHeight w:val="482"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0"/>
              <w:jc w:val="both"/>
            </w:pPr>
            <w:r>
              <w:rPr>
                <w:rFonts w:ascii="宋体" w:hAnsi="宋体" w:eastAsia="宋体" w:cs="宋体"/>
              </w:rPr>
              <w:t>序号</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ind w:left="192"/>
            </w:pPr>
            <w:r>
              <w:rPr>
                <w:rFonts w:ascii="宋体" w:hAnsi="宋体" w:eastAsia="宋体" w:cs="宋体"/>
              </w:rPr>
              <w:t>证明类型</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ind w:left="1"/>
              <w:jc w:val="center"/>
            </w:pPr>
            <w:r>
              <w:rPr>
                <w:rFonts w:ascii="宋体" w:hAnsi="宋体" w:eastAsia="宋体" w:cs="宋体"/>
              </w:rPr>
              <w:t>证明开具规定</w:t>
            </w:r>
          </w:p>
        </w:tc>
        <w:tc>
          <w:tcPr>
            <w:tcW w:w="2827" w:type="dxa"/>
            <w:tcBorders>
              <w:top w:val="single" w:color="000000" w:sz="6" w:space="0"/>
              <w:left w:val="single" w:color="000000" w:sz="6" w:space="0"/>
              <w:bottom w:val="single" w:color="000000" w:sz="6" w:space="0"/>
              <w:right w:val="single" w:color="000000" w:sz="6" w:space="0"/>
            </w:tcBorders>
            <w:vAlign w:val="center"/>
          </w:tcPr>
          <w:p>
            <w:pPr>
              <w:spacing w:after="0"/>
              <w:ind w:left="3"/>
            </w:pPr>
            <w:r>
              <w:rPr>
                <w:rFonts w:ascii="宋体" w:hAnsi="宋体" w:eastAsia="宋体" w:cs="宋体"/>
              </w:rPr>
              <w:t>附送资料</w:t>
            </w:r>
          </w:p>
        </w:tc>
      </w:tr>
      <w:tr>
        <w:tblPrEx>
          <w:tblCellMar>
            <w:top w:w="123" w:type="dxa"/>
            <w:left w:w="35" w:type="dxa"/>
            <w:bottom w:w="0" w:type="dxa"/>
            <w:right w:w="22" w:type="dxa"/>
          </w:tblCellMar>
        </w:tblPrEx>
        <w:trPr>
          <w:trHeight w:val="5239"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5</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ind w:left="192"/>
            </w:pPr>
            <w:r>
              <w:rPr>
                <w:rFonts w:ascii="宋体" w:hAnsi="宋体" w:eastAsia="宋体" w:cs="宋体"/>
              </w:rPr>
              <w:t>出口货物</w:t>
            </w:r>
          </w:p>
          <w:p>
            <w:pPr>
              <w:spacing w:after="0"/>
              <w:jc w:val="center"/>
            </w:pPr>
            <w:r>
              <w:rPr>
                <w:rFonts w:ascii="宋体" w:hAnsi="宋体" w:eastAsia="宋体" w:cs="宋体"/>
              </w:rPr>
              <w:t>已补税/未退税证明</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line="226" w:lineRule="auto"/>
            </w:pPr>
            <w:r>
              <w:rPr>
                <w:rFonts w:ascii="宋体" w:hAnsi="宋体" w:eastAsia="宋体" w:cs="宋体"/>
              </w:rPr>
              <w:t xml:space="preserve">    纳税人发生退运或者需要修改、撤销出口货物报关单时，应当先向主管税务机关申请开具《出口货物已补税/未退税证明》。涉及委托出口货物的，应当由委托方先向主管税务机关申请开具《出口货物已补税/未退税证明》并转交受托方，受托方凭该证明向主管税务机关申请开具《出口货物已补税/未退税证明》。</w:t>
            </w:r>
          </w:p>
          <w:p>
            <w:pPr>
              <w:spacing w:after="0" w:line="225" w:lineRule="auto"/>
            </w:pPr>
            <w:r>
              <w:rPr>
                <w:rFonts w:ascii="宋体" w:hAnsi="宋体" w:eastAsia="宋体" w:cs="宋体"/>
              </w:rPr>
              <w:t xml:space="preserve">    1.尚未申报出口退（免）税的，纳税人可以申请开具，主管税务机关核实结果填写“未退税”。</w:t>
            </w:r>
          </w:p>
          <w:p>
            <w:pPr>
              <w:spacing w:after="2" w:line="224" w:lineRule="auto"/>
            </w:pPr>
            <w:r>
              <w:rPr>
                <w:rFonts w:ascii="宋体" w:hAnsi="宋体" w:eastAsia="宋体" w:cs="宋体"/>
              </w:rPr>
              <w:t xml:space="preserve">    2.已申报但尚未办理出口退（免）税的，纳税人申请撤回原申报后可以申请开具，主管税务机关核实结果填写“未退税”。</w:t>
            </w:r>
          </w:p>
          <w:p>
            <w:pPr>
              <w:spacing w:after="0" w:line="226" w:lineRule="auto"/>
            </w:pPr>
            <w:r>
              <w:rPr>
                <w:rFonts w:ascii="宋体" w:hAnsi="宋体" w:eastAsia="宋体" w:cs="宋体"/>
              </w:rPr>
              <w:t xml:space="preserve">    3.无法撤回申报或者已办理出口退（免）税的，适用免抵退税办法的纳税人，可以先申请开具，并在收到主管税务机关出具《税务事项通知书》后，按照要求在本月或者次月申报免抵退税时以负数冲减原申报数据；适用免退税办法的纳税人，应当先完成冲减再申请开具，冲减后当期应退（免）税额为负数的，应当先缴回税款</w:t>
            </w:r>
          </w:p>
          <w:p>
            <w:pPr>
              <w:spacing w:after="0"/>
            </w:pPr>
            <w:r>
              <w:rPr>
                <w:rFonts w:ascii="宋体" w:hAnsi="宋体" w:eastAsia="宋体" w:cs="宋体"/>
              </w:rPr>
              <w:t>。以上情形，主管税务机关核实结果填写“已补税”。</w:t>
            </w:r>
          </w:p>
          <w:p>
            <w:pPr>
              <w:spacing w:after="0"/>
            </w:pPr>
            <w:r>
              <w:rPr>
                <w:rFonts w:ascii="宋体" w:hAnsi="宋体" w:eastAsia="宋体" w:cs="宋体"/>
              </w:rPr>
              <w:t xml:space="preserve">    适用免抵退税办法的纳税人在办理证明后，未按照要求负数冲减原申报数据的，在冲减数据前不得再次申报出口退（免）税。</w:t>
            </w:r>
          </w:p>
        </w:tc>
        <w:tc>
          <w:tcPr>
            <w:tcW w:w="2827" w:type="dxa"/>
            <w:tcBorders>
              <w:top w:val="single" w:color="000000" w:sz="6" w:space="0"/>
              <w:left w:val="single" w:color="000000" w:sz="6" w:space="0"/>
              <w:bottom w:val="single" w:color="000000" w:sz="6" w:space="0"/>
              <w:right w:val="single" w:color="000000" w:sz="6" w:space="0"/>
            </w:tcBorders>
            <w:vAlign w:val="center"/>
          </w:tcPr>
          <w:p>
            <w:pPr>
              <w:spacing w:after="0"/>
              <w:ind w:left="3"/>
            </w:pPr>
            <w:r>
              <w:rPr>
                <w:rFonts w:ascii="宋体" w:hAnsi="宋体" w:eastAsia="宋体" w:cs="宋体"/>
              </w:rPr>
              <w:t>无。</w:t>
            </w:r>
          </w:p>
        </w:tc>
      </w:tr>
      <w:tr>
        <w:tblPrEx>
          <w:tblCellMar>
            <w:top w:w="123" w:type="dxa"/>
            <w:left w:w="35" w:type="dxa"/>
            <w:bottom w:w="0" w:type="dxa"/>
            <w:right w:w="22" w:type="dxa"/>
          </w:tblCellMar>
        </w:tblPrEx>
        <w:trPr>
          <w:trHeight w:val="2851"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6</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来料加工免税证明</w:t>
            </w:r>
          </w:p>
        </w:tc>
        <w:tc>
          <w:tcPr>
            <w:tcW w:w="6463" w:type="dxa"/>
            <w:tcBorders>
              <w:top w:val="single" w:color="000000" w:sz="6" w:space="0"/>
              <w:left w:val="single" w:color="000000" w:sz="6" w:space="0"/>
              <w:bottom w:val="single" w:color="000000" w:sz="6" w:space="0"/>
              <w:right w:val="single" w:color="000000" w:sz="6" w:space="0"/>
            </w:tcBorders>
          </w:tcPr>
          <w:p>
            <w:pPr>
              <w:spacing w:after="0" w:line="225" w:lineRule="auto"/>
            </w:pPr>
            <w:r>
              <w:rPr>
                <w:rFonts w:ascii="宋体" w:hAnsi="宋体" w:eastAsia="宋体" w:cs="宋体"/>
              </w:rPr>
              <w:t xml:space="preserve">    纳税人从事来料加工委托加工业务的，在取得加工企业开具的加工费普通发票后，应当在加工费普通发票开具之日起至次月的增值税纳税申报期内，向主管税务机关申请开具《来料加工免税证明</w:t>
            </w:r>
          </w:p>
          <w:p>
            <w:pPr>
              <w:spacing w:after="0"/>
            </w:pPr>
            <w:r>
              <w:rPr>
                <w:rFonts w:ascii="宋体" w:hAnsi="宋体" w:eastAsia="宋体" w:cs="宋体"/>
              </w:rPr>
              <w:t>》。</w:t>
            </w:r>
          </w:p>
          <w:p>
            <w:pPr>
              <w:spacing w:after="0"/>
            </w:pPr>
            <w:r>
              <w:rPr>
                <w:rFonts w:ascii="宋体" w:hAnsi="宋体" w:eastAsia="宋体" w:cs="宋体"/>
              </w:rPr>
              <w:t xml:space="preserve">    纳税人应当将《来料加工免税证明》转交加工企业，加工企业持此证明向主管税务机关申报办理加工费的增值税、消费税免税手续。如提供的加工费发票不是由加工贸易手（账）册上注明的加工单位开具的，纳税人应当向主管税务机关书面说明理由，并提供相关佐证材料。否则，不得申请开具《来料加工免税证明》，相应的加工费不得申报免税。</w:t>
            </w:r>
          </w:p>
        </w:tc>
        <w:tc>
          <w:tcPr>
            <w:tcW w:w="2827" w:type="dxa"/>
            <w:tcBorders>
              <w:top w:val="single" w:color="000000" w:sz="6" w:space="0"/>
              <w:left w:val="single" w:color="000000" w:sz="6" w:space="0"/>
              <w:bottom w:val="single" w:color="000000" w:sz="6" w:space="0"/>
              <w:right w:val="single" w:color="000000" w:sz="6" w:space="0"/>
            </w:tcBorders>
            <w:vAlign w:val="center"/>
          </w:tcPr>
          <w:p>
            <w:pPr>
              <w:numPr>
                <w:ilvl w:val="0"/>
                <w:numId w:val="5"/>
              </w:numPr>
              <w:spacing w:after="0" w:line="225" w:lineRule="auto"/>
            </w:pPr>
            <w:r>
              <w:rPr>
                <w:rFonts w:ascii="宋体" w:hAnsi="宋体" w:eastAsia="宋体" w:cs="宋体"/>
              </w:rPr>
              <w:t>加工企业开具的加工费普通发票；</w:t>
            </w:r>
          </w:p>
          <w:p>
            <w:pPr>
              <w:numPr>
                <w:ilvl w:val="0"/>
                <w:numId w:val="5"/>
              </w:numPr>
              <w:spacing w:after="0"/>
            </w:pPr>
            <w:r>
              <w:rPr>
                <w:rFonts w:ascii="宋体" w:hAnsi="宋体" w:eastAsia="宋体" w:cs="宋体"/>
              </w:rPr>
              <w:t>市级以上税务机关要求报送的其他资料。</w:t>
            </w:r>
          </w:p>
        </w:tc>
      </w:tr>
    </w:tbl>
    <w:p>
      <w:pPr>
        <w:spacing w:after="0"/>
        <w:ind w:left="-1440" w:right="10465"/>
      </w:pPr>
    </w:p>
    <w:tbl>
      <w:tblPr>
        <w:tblStyle w:val="4"/>
        <w:tblW w:w="11126" w:type="dxa"/>
        <w:tblInd w:w="-1058" w:type="dxa"/>
        <w:tblLayout w:type="autofit"/>
        <w:tblCellMar>
          <w:top w:w="125" w:type="dxa"/>
          <w:left w:w="35" w:type="dxa"/>
          <w:bottom w:w="0" w:type="dxa"/>
          <w:right w:w="21" w:type="dxa"/>
        </w:tblCellMar>
      </w:tblPr>
      <w:tblGrid>
        <w:gridCol w:w="516"/>
        <w:gridCol w:w="1320"/>
        <w:gridCol w:w="6463"/>
        <w:gridCol w:w="2827"/>
      </w:tblGrid>
      <w:tr>
        <w:tblPrEx>
          <w:tblCellMar>
            <w:top w:w="125" w:type="dxa"/>
            <w:left w:w="35" w:type="dxa"/>
            <w:bottom w:w="0" w:type="dxa"/>
            <w:right w:w="21" w:type="dxa"/>
          </w:tblCellMar>
        </w:tblPrEx>
        <w:trPr>
          <w:trHeight w:val="482"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0"/>
              <w:jc w:val="both"/>
            </w:pPr>
            <w:r>
              <w:rPr>
                <w:rFonts w:ascii="宋体" w:hAnsi="宋体" w:eastAsia="宋体" w:cs="宋体"/>
              </w:rPr>
              <w:t>序号</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ind w:left="192"/>
            </w:pPr>
            <w:r>
              <w:rPr>
                <w:rFonts w:ascii="宋体" w:hAnsi="宋体" w:eastAsia="宋体" w:cs="宋体"/>
              </w:rPr>
              <w:t>证明类型</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证明开具规定</w:t>
            </w:r>
          </w:p>
        </w:tc>
        <w:tc>
          <w:tcPr>
            <w:tcW w:w="2827" w:type="dxa"/>
            <w:tcBorders>
              <w:top w:val="single" w:color="000000" w:sz="6" w:space="0"/>
              <w:left w:val="single" w:color="000000" w:sz="6" w:space="0"/>
              <w:bottom w:val="single" w:color="000000" w:sz="6" w:space="0"/>
              <w:right w:val="single" w:color="000000" w:sz="6" w:space="0"/>
            </w:tcBorders>
            <w:vAlign w:val="center"/>
          </w:tcPr>
          <w:p>
            <w:pPr>
              <w:spacing w:after="0"/>
              <w:ind w:left="3"/>
            </w:pPr>
            <w:r>
              <w:rPr>
                <w:rFonts w:ascii="宋体" w:hAnsi="宋体" w:eastAsia="宋体" w:cs="宋体"/>
              </w:rPr>
              <w:t>附送资料</w:t>
            </w:r>
          </w:p>
        </w:tc>
      </w:tr>
      <w:tr>
        <w:tblPrEx>
          <w:tblCellMar>
            <w:top w:w="125" w:type="dxa"/>
            <w:left w:w="35" w:type="dxa"/>
            <w:bottom w:w="0" w:type="dxa"/>
            <w:right w:w="21" w:type="dxa"/>
          </w:tblCellMar>
        </w:tblPrEx>
        <w:trPr>
          <w:trHeight w:val="5897"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7</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中标证明通知书</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rPr>
              <w:t xml:space="preserve">    利用外国政府贷款或者国际金融组织贷款通过国际招标建设的项目，招标机构应当在招标完毕并待中标企业签订的供货合同生效后，向其所在地主管税务机关申请办理《中标证明通知书》。</w:t>
            </w:r>
          </w:p>
        </w:tc>
        <w:tc>
          <w:tcPr>
            <w:tcW w:w="2827" w:type="dxa"/>
            <w:tcBorders>
              <w:top w:val="single" w:color="000000" w:sz="6" w:space="0"/>
              <w:left w:val="single" w:color="000000" w:sz="6" w:space="0"/>
              <w:bottom w:val="single" w:color="000000" w:sz="6" w:space="0"/>
              <w:right w:val="single" w:color="000000" w:sz="6" w:space="0"/>
            </w:tcBorders>
            <w:vAlign w:val="center"/>
          </w:tcPr>
          <w:p>
            <w:pPr>
              <w:numPr>
                <w:ilvl w:val="0"/>
                <w:numId w:val="6"/>
              </w:numPr>
              <w:spacing w:after="1" w:line="225" w:lineRule="auto"/>
            </w:pPr>
            <w:r>
              <w:rPr>
                <w:rFonts w:ascii="宋体" w:hAnsi="宋体" w:eastAsia="宋体" w:cs="宋体"/>
              </w:rPr>
              <w:t>《关于外国政府贷款备选项目的通知》（财政部门）或者《关于××行（国际金融组织）贷款“××项目”转贷协议（或者分贷协议、执行协议）》（财政部门与项目的主管部门或者政府签订）；</w:t>
            </w:r>
          </w:p>
          <w:p>
            <w:pPr>
              <w:numPr>
                <w:ilvl w:val="0"/>
                <w:numId w:val="6"/>
              </w:numPr>
              <w:spacing w:after="0" w:line="225" w:lineRule="auto"/>
            </w:pPr>
            <w:r>
              <w:rPr>
                <w:rFonts w:ascii="宋体" w:hAnsi="宋体" w:eastAsia="宋体" w:cs="宋体"/>
              </w:rPr>
              <w:t>《中标项目不退税货物清单》；</w:t>
            </w:r>
          </w:p>
          <w:p>
            <w:pPr>
              <w:numPr>
                <w:ilvl w:val="0"/>
                <w:numId w:val="6"/>
              </w:numPr>
              <w:spacing w:after="0" w:line="225" w:lineRule="auto"/>
            </w:pPr>
            <w:r>
              <w:rPr>
                <w:rFonts w:ascii="宋体" w:hAnsi="宋体" w:eastAsia="宋体" w:cs="宋体"/>
              </w:rPr>
              <w:t>贷款项目中，属于外国企业中标再分包给国内企业供应的机电产品，还应当提供招标机构对分包合同出具的验证证明；</w:t>
            </w:r>
          </w:p>
          <w:p>
            <w:pPr>
              <w:numPr>
                <w:ilvl w:val="0"/>
                <w:numId w:val="6"/>
              </w:numPr>
              <w:spacing w:after="0" w:line="226" w:lineRule="auto"/>
            </w:pPr>
            <w:r>
              <w:rPr>
                <w:rFonts w:ascii="宋体" w:hAnsi="宋体" w:eastAsia="宋体" w:cs="宋体"/>
              </w:rPr>
              <w:t>贷款项目中属于联合体中标的，还应当提供招标机构对联合体协议出具的验证证明；</w:t>
            </w:r>
          </w:p>
          <w:p>
            <w:pPr>
              <w:numPr>
                <w:ilvl w:val="0"/>
                <w:numId w:val="6"/>
              </w:numPr>
              <w:spacing w:after="0"/>
            </w:pPr>
            <w:r>
              <w:rPr>
                <w:rFonts w:ascii="宋体" w:hAnsi="宋体" w:eastAsia="宋体" w:cs="宋体"/>
              </w:rPr>
              <w:t>市级以上税务机关要求报送的其他资料。</w:t>
            </w:r>
          </w:p>
        </w:tc>
      </w:tr>
      <w:tr>
        <w:tblPrEx>
          <w:tblCellMar>
            <w:top w:w="125" w:type="dxa"/>
            <w:left w:w="35" w:type="dxa"/>
            <w:bottom w:w="0" w:type="dxa"/>
            <w:right w:w="21" w:type="dxa"/>
          </w:tblCellMar>
        </w:tblPrEx>
        <w:trPr>
          <w:trHeight w:val="1248"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8</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准予免税购进出口卷烟证明</w:t>
            </w:r>
          </w:p>
        </w:tc>
        <w:tc>
          <w:tcPr>
            <w:tcW w:w="646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rPr>
              <w:t xml:space="preserve">    卷烟出口企业从卷烟生产企业购进卷烟的，应当在免税出口卷烟计划内向主管税务机关申请开具《准予免税购进出口卷烟证明》并转交卷烟生产企业，卷烟生产企业据此向主管税务机关申报办理免税手续。</w:t>
            </w:r>
          </w:p>
        </w:tc>
        <w:tc>
          <w:tcPr>
            <w:tcW w:w="2827" w:type="dxa"/>
            <w:tcBorders>
              <w:top w:val="single" w:color="000000" w:sz="6" w:space="0"/>
              <w:left w:val="single" w:color="000000" w:sz="6" w:space="0"/>
              <w:bottom w:val="single" w:color="000000" w:sz="6" w:space="0"/>
              <w:right w:val="single" w:color="000000" w:sz="6" w:space="0"/>
            </w:tcBorders>
            <w:vAlign w:val="center"/>
          </w:tcPr>
          <w:p>
            <w:pPr>
              <w:spacing w:after="0"/>
              <w:ind w:left="3"/>
            </w:pPr>
            <w:r>
              <w:rPr>
                <w:rFonts w:ascii="宋体" w:hAnsi="宋体" w:eastAsia="宋体" w:cs="宋体"/>
              </w:rPr>
              <w:t>无。</w:t>
            </w:r>
          </w:p>
        </w:tc>
      </w:tr>
      <w:tr>
        <w:tblPrEx>
          <w:tblCellMar>
            <w:top w:w="125" w:type="dxa"/>
            <w:left w:w="35" w:type="dxa"/>
            <w:bottom w:w="0" w:type="dxa"/>
            <w:right w:w="21" w:type="dxa"/>
          </w:tblCellMar>
        </w:tblPrEx>
        <w:trPr>
          <w:trHeight w:val="1121" w:hRule="atLeast"/>
        </w:trPr>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75"/>
            </w:pPr>
            <w:r>
              <w:rPr>
                <w:rFonts w:ascii="宋体" w:hAnsi="宋体" w:eastAsia="宋体" w:cs="宋体"/>
              </w:rPr>
              <w:t>9</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出口卷烟已免税证明</w:t>
            </w:r>
          </w:p>
        </w:tc>
        <w:tc>
          <w:tcPr>
            <w:tcW w:w="646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rPr>
              <w:t xml:space="preserve">    已准予免税购进的卷烟，卷烟生产企业应当以不含消费税、增值税的价格销售给卷烟出口企业，并向主管税务机关申请开具《出口卷烟已免税证明》。</w:t>
            </w:r>
          </w:p>
        </w:tc>
        <w:tc>
          <w:tcPr>
            <w:tcW w:w="2827" w:type="dxa"/>
            <w:tcBorders>
              <w:top w:val="single" w:color="000000" w:sz="6" w:space="0"/>
              <w:left w:val="single" w:color="000000" w:sz="6" w:space="0"/>
              <w:bottom w:val="single" w:color="000000" w:sz="6" w:space="0"/>
              <w:right w:val="single" w:color="000000" w:sz="6" w:space="0"/>
            </w:tcBorders>
            <w:vAlign w:val="center"/>
          </w:tcPr>
          <w:p>
            <w:pPr>
              <w:spacing w:after="0"/>
              <w:ind w:left="3"/>
            </w:pPr>
            <w:r>
              <w:rPr>
                <w:rFonts w:ascii="宋体" w:hAnsi="宋体" w:eastAsia="宋体" w:cs="宋体"/>
              </w:rPr>
              <w:t>无。</w:t>
            </w:r>
          </w:p>
        </w:tc>
      </w:tr>
    </w:tbl>
    <w:p>
      <w:pPr>
        <w:sectPr>
          <w:headerReference r:id="rId7" w:type="first"/>
          <w:footerReference r:id="rId10" w:type="first"/>
          <w:headerReference r:id="rId5" w:type="default"/>
          <w:footerReference r:id="rId8" w:type="default"/>
          <w:headerReference r:id="rId6" w:type="even"/>
          <w:footerReference r:id="rId9" w:type="even"/>
          <w:pgSz w:w="11905" w:h="16837"/>
          <w:pgMar w:top="1440" w:right="1440" w:bottom="1413" w:left="1440" w:header="1263" w:footer="446"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3"/>
      <w:jc w:val="center"/>
    </w:pPr>
    <w:r>
      <w:rPr>
        <w:rFonts w:ascii="黑体" w:hAnsi="黑体" w:eastAsia="黑体" w:cs="黑体"/>
        <w:sz w:val="33"/>
      </w:rPr>
      <w:t>30.出口退（免）税证明开具清单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3"/>
      <w:jc w:val="center"/>
    </w:pPr>
    <w:r>
      <w:rPr>
        <w:rFonts w:ascii="黑体" w:hAnsi="黑体" w:eastAsia="黑体" w:cs="黑体"/>
        <w:sz w:val="33"/>
      </w:rPr>
      <w:t>30.出口退（免）税证明开具清单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3"/>
      <w:jc w:val="center"/>
    </w:pPr>
    <w:r>
      <w:rPr>
        <w:rFonts w:ascii="黑体" w:hAnsi="黑体" w:eastAsia="黑体" w:cs="黑体"/>
        <w:sz w:val="33"/>
      </w:rPr>
      <w:t>30.出口退（免）税证明开具清单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053FB"/>
    <w:multiLevelType w:val="multilevel"/>
    <w:tmpl w:val="2FF053FB"/>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1">
    <w:nsid w:val="33C26673"/>
    <w:multiLevelType w:val="multilevel"/>
    <w:tmpl w:val="33C26673"/>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2">
    <w:nsid w:val="4ABB1B1F"/>
    <w:multiLevelType w:val="multilevel"/>
    <w:tmpl w:val="4ABB1B1F"/>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3">
    <w:nsid w:val="5A6646C4"/>
    <w:multiLevelType w:val="multilevel"/>
    <w:tmpl w:val="5A6646C4"/>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4">
    <w:nsid w:val="64E57228"/>
    <w:multiLevelType w:val="multilevel"/>
    <w:tmpl w:val="64E57228"/>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5">
    <w:nsid w:val="7BE30881"/>
    <w:multiLevelType w:val="multilevel"/>
    <w:tmpl w:val="7BE30881"/>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5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2026-02-11T03:31:53Z</dcterms:created>
  <dc:creator>fzr</dc:creator>
  <cp:lastModifiedBy>fzr</cp:lastModifiedBy>
  <dcterms:modified xsi:type="dcterms:W3CDTF">2026-02-11T03:32:02Z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