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378" w:right="2179"/>
        <w:jc w:val="left"/>
        <w:rPr>
          <w:rFonts w:hint="eastAsia"/>
        </w:rPr>
      </w:pPr>
      <w:r>
        <w:t>46.出口退（免）税实地核查情形</w:t>
      </w:r>
    </w:p>
    <w:tbl>
      <w:tblPr>
        <w:tblStyle w:val="5"/>
        <w:tblW w:w="14333" w:type="dxa"/>
        <w:tblInd w:w="-197" w:type="dxa"/>
        <w:tblLayout w:type="autofit"/>
        <w:tblCellMar>
          <w:top w:w="100" w:type="dxa"/>
          <w:left w:w="41" w:type="dxa"/>
          <w:bottom w:w="0" w:type="dxa"/>
          <w:right w:w="115" w:type="dxa"/>
        </w:tblCellMar>
      </w:tblPr>
      <w:tblGrid>
        <w:gridCol w:w="984"/>
        <w:gridCol w:w="13349"/>
      </w:tblGrid>
      <w:tr>
        <w:tblPrEx>
          <w:tblCellMar>
            <w:top w:w="100" w:type="dxa"/>
            <w:left w:w="41" w:type="dxa"/>
            <w:bottom w:w="0" w:type="dxa"/>
            <w:right w:w="115" w:type="dxa"/>
          </w:tblCellMar>
        </w:tblPrEx>
        <w:trPr>
          <w:trHeight w:val="406" w:hRule="atLeast"/>
        </w:trPr>
        <w:tc>
          <w:tcPr>
            <w:tcW w:w="984" w:type="dxa"/>
            <w:tcBorders>
              <w:top w:val="single" w:color="000000" w:sz="8" w:space="0"/>
              <w:left w:val="single" w:color="000000" w:sz="8" w:space="0"/>
              <w:bottom w:val="single" w:color="000000" w:sz="8" w:space="0"/>
              <w:right w:val="single" w:color="000000" w:sz="8" w:space="0"/>
            </w:tcBorders>
          </w:tcPr>
          <w:p>
            <w:pPr>
              <w:spacing w:after="0"/>
              <w:ind w:left="221"/>
            </w:pPr>
            <w:r>
              <w:rPr>
                <w:rFonts w:ascii="宋体" w:hAnsi="宋体" w:eastAsia="宋体" w:cs="宋体"/>
                <w:sz w:val="24"/>
              </w:rPr>
              <w:t>序号</w:t>
            </w:r>
          </w:p>
        </w:tc>
        <w:tc>
          <w:tcPr>
            <w:tcW w:w="13349" w:type="dxa"/>
            <w:tcBorders>
              <w:top w:val="single" w:color="000000" w:sz="8" w:space="0"/>
              <w:left w:val="single" w:color="000000" w:sz="8" w:space="0"/>
              <w:bottom w:val="single" w:color="000000" w:sz="8" w:space="0"/>
              <w:right w:val="single" w:color="000000" w:sz="8" w:space="0"/>
            </w:tcBorders>
          </w:tcPr>
          <w:p>
            <w:pPr>
              <w:spacing w:after="0"/>
              <w:ind w:left="93"/>
              <w:jc w:val="center"/>
            </w:pPr>
            <w:r>
              <w:rPr>
                <w:rFonts w:ascii="宋体" w:hAnsi="宋体" w:eastAsia="宋体" w:cs="宋体"/>
                <w:sz w:val="24"/>
              </w:rPr>
              <w:t>具体情形</w:t>
            </w:r>
          </w:p>
        </w:tc>
      </w:tr>
      <w:tr>
        <w:tblPrEx>
          <w:tblCellMar>
            <w:top w:w="100" w:type="dxa"/>
            <w:left w:w="41" w:type="dxa"/>
            <w:bottom w:w="0" w:type="dxa"/>
            <w:right w:w="115" w:type="dxa"/>
          </w:tblCellMar>
        </w:tblPrEx>
        <w:trPr>
          <w:trHeight w:val="4027" w:hRule="atLeast"/>
        </w:trPr>
        <w:tc>
          <w:tcPr>
            <w:tcW w:w="984" w:type="dxa"/>
            <w:tcBorders>
              <w:top w:val="single" w:color="000000" w:sz="8" w:space="0"/>
              <w:left w:val="single" w:color="000000" w:sz="8" w:space="0"/>
              <w:bottom w:val="single" w:color="000000" w:sz="8" w:space="0"/>
              <w:right w:val="single" w:color="000000" w:sz="8" w:space="0"/>
            </w:tcBorders>
            <w:vAlign w:val="center"/>
          </w:tcPr>
          <w:p>
            <w:pPr>
              <w:spacing w:after="0"/>
              <w:ind w:left="94"/>
              <w:jc w:val="center"/>
            </w:pPr>
            <w:r>
              <w:rPr>
                <w:rFonts w:ascii="宋体" w:hAnsi="宋体" w:eastAsia="宋体" w:cs="宋体"/>
                <w:sz w:val="24"/>
              </w:rPr>
              <w:t>1</w:t>
            </w:r>
          </w:p>
        </w:tc>
        <w:tc>
          <w:tcPr>
            <w:tcW w:w="13349"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宋体" w:hAnsi="宋体" w:eastAsia="宋体" w:cs="宋体"/>
                <w:sz w:val="24"/>
              </w:rPr>
              <w:t>首次申报出口退（免）税的：</w:t>
            </w:r>
          </w:p>
          <w:p>
            <w:pPr>
              <w:numPr>
                <w:ilvl w:val="0"/>
                <w:numId w:val="1"/>
              </w:numPr>
              <w:spacing w:after="0"/>
              <w:ind w:hanging="960"/>
            </w:pPr>
            <w:r>
              <w:rPr>
                <w:rFonts w:ascii="宋体" w:hAnsi="宋体" w:eastAsia="宋体" w:cs="宋体"/>
                <w:sz w:val="24"/>
              </w:rPr>
              <w:t>首次申报出口退（免）税的出口货物；</w:t>
            </w:r>
          </w:p>
          <w:p>
            <w:pPr>
              <w:numPr>
                <w:ilvl w:val="0"/>
                <w:numId w:val="1"/>
              </w:numPr>
              <w:spacing w:after="0"/>
              <w:ind w:hanging="960"/>
            </w:pPr>
            <w:r>
              <w:rPr>
                <w:rFonts w:ascii="宋体" w:hAnsi="宋体" w:eastAsia="宋体" w:cs="宋体"/>
                <w:sz w:val="24"/>
              </w:rPr>
              <w:t>首次申报出口退（免）税的对外修理修配服务；</w:t>
            </w:r>
          </w:p>
          <w:p>
            <w:pPr>
              <w:numPr>
                <w:ilvl w:val="0"/>
                <w:numId w:val="1"/>
              </w:numPr>
              <w:spacing w:after="0"/>
              <w:ind w:hanging="960"/>
            </w:pPr>
            <w:r>
              <w:rPr>
                <w:rFonts w:ascii="宋体" w:hAnsi="宋体" w:eastAsia="宋体" w:cs="宋体"/>
                <w:sz w:val="24"/>
              </w:rPr>
              <w:t>首次申报出口退（免）税的跨境销售服务（对外修理修配服务除外）、无形资产；</w:t>
            </w:r>
          </w:p>
          <w:p>
            <w:pPr>
              <w:numPr>
                <w:ilvl w:val="0"/>
                <w:numId w:val="1"/>
              </w:numPr>
              <w:spacing w:after="0"/>
              <w:ind w:hanging="960"/>
            </w:pPr>
            <w:r>
              <w:rPr>
                <w:rFonts w:ascii="宋体" w:hAnsi="宋体" w:eastAsia="宋体" w:cs="宋体"/>
                <w:sz w:val="24"/>
              </w:rPr>
              <w:t>变更退（免）税办法后首次申报出口退（免）税；</w:t>
            </w:r>
          </w:p>
          <w:p>
            <w:pPr>
              <w:numPr>
                <w:ilvl w:val="0"/>
                <w:numId w:val="1"/>
              </w:numPr>
              <w:spacing w:after="0"/>
              <w:ind w:hanging="960"/>
            </w:pPr>
            <w:r>
              <w:rPr>
                <w:rFonts w:ascii="宋体" w:hAnsi="宋体" w:eastAsia="宋体" w:cs="宋体"/>
                <w:sz w:val="24"/>
              </w:rPr>
              <w:t>变更主管税务机关后首次申报出口退（免）税；</w:t>
            </w:r>
          </w:p>
          <w:p>
            <w:pPr>
              <w:numPr>
                <w:ilvl w:val="0"/>
                <w:numId w:val="1"/>
              </w:numPr>
              <w:spacing w:after="0"/>
              <w:ind w:hanging="960"/>
            </w:pPr>
            <w:r>
              <w:rPr>
                <w:rFonts w:ascii="宋体" w:hAnsi="宋体" w:eastAsia="宋体" w:cs="宋体"/>
                <w:sz w:val="24"/>
              </w:rPr>
              <w:t>四类生产企业每年首次申报属于自产货物出口退（免）税；</w:t>
            </w:r>
          </w:p>
          <w:p>
            <w:pPr>
              <w:numPr>
                <w:ilvl w:val="0"/>
                <w:numId w:val="1"/>
              </w:numPr>
              <w:spacing w:after="0"/>
              <w:ind w:hanging="960"/>
            </w:pPr>
            <w:r>
              <w:rPr>
                <w:rFonts w:ascii="宋体" w:hAnsi="宋体" w:eastAsia="宋体" w:cs="宋体"/>
                <w:sz w:val="24"/>
              </w:rPr>
              <w:t>生产企业首次申报视同自产货物出口退（免）税；</w:t>
            </w:r>
          </w:p>
          <w:p>
            <w:pPr>
              <w:numPr>
                <w:ilvl w:val="0"/>
                <w:numId w:val="1"/>
              </w:numPr>
              <w:spacing w:after="0"/>
              <w:ind w:hanging="960"/>
            </w:pPr>
            <w:r>
              <w:rPr>
                <w:rFonts w:ascii="宋体" w:hAnsi="宋体" w:eastAsia="宋体" w:cs="宋体"/>
                <w:sz w:val="24"/>
              </w:rPr>
              <w:t>生产企业首次申报非传统商品（海关商品编码的前4位不同）视同自产货物出口退（免）税；</w:t>
            </w:r>
          </w:p>
          <w:p>
            <w:pPr>
              <w:numPr>
                <w:ilvl w:val="0"/>
                <w:numId w:val="1"/>
              </w:numPr>
              <w:spacing w:after="0"/>
              <w:ind w:hanging="960"/>
            </w:pPr>
            <w:r>
              <w:rPr>
                <w:rFonts w:ascii="宋体" w:hAnsi="宋体" w:eastAsia="宋体" w:cs="宋体"/>
                <w:sz w:val="24"/>
              </w:rPr>
              <w:t>生产企业首次申报先退税后核销出口退（免）税；</w:t>
            </w:r>
          </w:p>
          <w:p>
            <w:pPr>
              <w:numPr>
                <w:ilvl w:val="0"/>
                <w:numId w:val="1"/>
              </w:numPr>
              <w:spacing w:after="0"/>
              <w:ind w:hanging="960"/>
            </w:pPr>
            <w:r>
              <w:rPr>
                <w:rFonts w:ascii="宋体" w:hAnsi="宋体" w:eastAsia="宋体" w:cs="宋体"/>
                <w:sz w:val="24"/>
              </w:rPr>
              <w:t>生产企业首次申报向按实物征收增值税的中外合作油（气）田开采企业销售的自产海洋工程结构物；</w:t>
            </w:r>
          </w:p>
          <w:p>
            <w:pPr>
              <w:numPr>
                <w:ilvl w:val="0"/>
                <w:numId w:val="1"/>
              </w:numPr>
              <w:spacing w:after="0"/>
              <w:ind w:hanging="960"/>
            </w:pPr>
            <w:r>
              <w:rPr>
                <w:rFonts w:ascii="宋体" w:hAnsi="宋体" w:eastAsia="宋体" w:cs="宋体"/>
                <w:sz w:val="24"/>
              </w:rPr>
              <w:t>首次申报国内航空供应公司生产销售给国内和国外航空公司国际航班的航空食品。</w:t>
            </w:r>
          </w:p>
        </w:tc>
      </w:tr>
      <w:tr>
        <w:tblPrEx>
          <w:tblCellMar>
            <w:top w:w="100" w:type="dxa"/>
            <w:left w:w="41" w:type="dxa"/>
            <w:bottom w:w="0" w:type="dxa"/>
            <w:right w:w="115" w:type="dxa"/>
          </w:tblCellMar>
        </w:tblPrEx>
        <w:trPr>
          <w:trHeight w:val="463" w:hRule="atLeast"/>
        </w:trPr>
        <w:tc>
          <w:tcPr>
            <w:tcW w:w="984" w:type="dxa"/>
            <w:tcBorders>
              <w:top w:val="single" w:color="000000" w:sz="8" w:space="0"/>
              <w:left w:val="single" w:color="000000" w:sz="8" w:space="0"/>
              <w:bottom w:val="single" w:color="000000" w:sz="8" w:space="0"/>
              <w:right w:val="single" w:color="000000" w:sz="8" w:space="0"/>
            </w:tcBorders>
          </w:tcPr>
          <w:p>
            <w:pPr>
              <w:spacing w:after="0"/>
              <w:ind w:left="94"/>
              <w:jc w:val="center"/>
            </w:pPr>
            <w:r>
              <w:rPr>
                <w:rFonts w:ascii="宋体" w:hAnsi="宋体" w:eastAsia="宋体" w:cs="宋体"/>
                <w:sz w:val="24"/>
              </w:rPr>
              <w:t>2</w:t>
            </w:r>
          </w:p>
        </w:tc>
        <w:tc>
          <w:tcPr>
            <w:tcW w:w="13349" w:type="dxa"/>
            <w:tcBorders>
              <w:top w:val="single" w:color="000000" w:sz="8" w:space="0"/>
              <w:left w:val="single" w:color="000000" w:sz="8" w:space="0"/>
              <w:bottom w:val="single" w:color="000000" w:sz="8" w:space="0"/>
              <w:right w:val="single" w:color="000000" w:sz="8" w:space="0"/>
            </w:tcBorders>
          </w:tcPr>
          <w:p>
            <w:pPr>
              <w:spacing w:after="0"/>
            </w:pPr>
            <w:r>
              <w:rPr>
                <w:rFonts w:ascii="宋体" w:hAnsi="宋体" w:eastAsia="宋体" w:cs="宋体"/>
                <w:sz w:val="24"/>
              </w:rPr>
              <w:t>按照本办法第二十条第一项规定申报先退税后核销出口退（免）税需要开展实地核查的。</w:t>
            </w:r>
          </w:p>
        </w:tc>
      </w:tr>
      <w:tr>
        <w:tblPrEx>
          <w:tblCellMar>
            <w:top w:w="100" w:type="dxa"/>
            <w:left w:w="41" w:type="dxa"/>
            <w:bottom w:w="0" w:type="dxa"/>
            <w:right w:w="115" w:type="dxa"/>
          </w:tblCellMar>
        </w:tblPrEx>
        <w:trPr>
          <w:trHeight w:val="463" w:hRule="atLeast"/>
        </w:trPr>
        <w:tc>
          <w:tcPr>
            <w:tcW w:w="984" w:type="dxa"/>
            <w:tcBorders>
              <w:top w:val="single" w:color="000000" w:sz="8" w:space="0"/>
              <w:left w:val="single" w:color="000000" w:sz="8" w:space="0"/>
              <w:bottom w:val="single" w:color="000000" w:sz="8" w:space="0"/>
              <w:right w:val="single" w:color="000000" w:sz="8" w:space="0"/>
            </w:tcBorders>
          </w:tcPr>
          <w:p>
            <w:pPr>
              <w:spacing w:after="0"/>
              <w:ind w:left="94"/>
              <w:jc w:val="center"/>
            </w:pPr>
            <w:r>
              <w:rPr>
                <w:rFonts w:ascii="宋体" w:hAnsi="宋体" w:eastAsia="宋体" w:cs="宋体"/>
                <w:sz w:val="24"/>
              </w:rPr>
              <w:t>3</w:t>
            </w:r>
          </w:p>
        </w:tc>
        <w:tc>
          <w:tcPr>
            <w:tcW w:w="13349" w:type="dxa"/>
            <w:tcBorders>
              <w:top w:val="single" w:color="000000" w:sz="8" w:space="0"/>
              <w:left w:val="single" w:color="000000" w:sz="8" w:space="0"/>
              <w:bottom w:val="single" w:color="000000" w:sz="8" w:space="0"/>
              <w:right w:val="single" w:color="000000" w:sz="8" w:space="0"/>
            </w:tcBorders>
          </w:tcPr>
          <w:p>
            <w:pPr>
              <w:spacing w:after="0"/>
            </w:pPr>
            <w:r>
              <w:rPr>
                <w:rFonts w:ascii="宋体" w:hAnsi="宋体" w:eastAsia="宋体" w:cs="宋体"/>
                <w:sz w:val="24"/>
              </w:rPr>
              <w:t>经出口退（免）税审核等无法排除疑点需开展实地核查的。</w:t>
            </w:r>
          </w:p>
        </w:tc>
      </w:tr>
      <w:tr>
        <w:tblPrEx>
          <w:tblCellMar>
            <w:top w:w="100" w:type="dxa"/>
            <w:left w:w="41" w:type="dxa"/>
            <w:bottom w:w="0" w:type="dxa"/>
            <w:right w:w="115" w:type="dxa"/>
          </w:tblCellMar>
        </w:tblPrEx>
        <w:trPr>
          <w:trHeight w:val="463" w:hRule="atLeast"/>
        </w:trPr>
        <w:tc>
          <w:tcPr>
            <w:tcW w:w="984" w:type="dxa"/>
            <w:tcBorders>
              <w:top w:val="single" w:color="000000" w:sz="8" w:space="0"/>
              <w:left w:val="single" w:color="000000" w:sz="8" w:space="0"/>
              <w:bottom w:val="single" w:color="000000" w:sz="8" w:space="0"/>
              <w:right w:val="single" w:color="000000" w:sz="8" w:space="0"/>
            </w:tcBorders>
          </w:tcPr>
          <w:p>
            <w:pPr>
              <w:spacing w:after="0"/>
              <w:ind w:left="94"/>
              <w:jc w:val="center"/>
            </w:pPr>
            <w:r>
              <w:rPr>
                <w:rFonts w:ascii="宋体" w:hAnsi="宋体" w:eastAsia="宋体" w:cs="宋体"/>
                <w:sz w:val="24"/>
              </w:rPr>
              <w:t>4</w:t>
            </w:r>
          </w:p>
        </w:tc>
        <w:tc>
          <w:tcPr>
            <w:tcW w:w="13349" w:type="dxa"/>
            <w:tcBorders>
              <w:top w:val="single" w:color="000000" w:sz="8" w:space="0"/>
              <w:left w:val="single" w:color="000000" w:sz="8" w:space="0"/>
              <w:bottom w:val="single" w:color="000000" w:sz="8" w:space="0"/>
              <w:right w:val="single" w:color="000000" w:sz="8" w:space="0"/>
            </w:tcBorders>
          </w:tcPr>
          <w:p>
            <w:pPr>
              <w:spacing w:after="0"/>
            </w:pPr>
            <w:r>
              <w:rPr>
                <w:rFonts w:ascii="宋体" w:hAnsi="宋体" w:eastAsia="宋体" w:cs="宋体"/>
                <w:sz w:val="24"/>
              </w:rPr>
              <w:t>国家税务总局规定的其他情形。</w:t>
            </w:r>
          </w:p>
        </w:tc>
      </w:tr>
    </w:tbl>
    <w:p>
      <w:pPr>
        <w:sectPr>
          <w:headerReference r:id="rId7" w:type="first"/>
          <w:footerReference r:id="rId10" w:type="first"/>
          <w:headerReference r:id="rId5" w:type="default"/>
          <w:footerReference r:id="rId8" w:type="default"/>
          <w:headerReference r:id="rId6" w:type="even"/>
          <w:footerReference r:id="rId9" w:type="even"/>
          <w:pgSz w:w="16837" w:h="11905" w:orient="landscape"/>
          <w:pgMar w:top="1440" w:right="1440" w:bottom="1440" w:left="1440" w:header="720"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77A55"/>
    <w:multiLevelType w:val="multilevel"/>
    <w:tmpl w:val="5E577A55"/>
    <w:lvl w:ilvl="0" w:tentative="0">
      <w:start w:val="1"/>
      <w:numFmt w:val="japaneseCounting"/>
      <w:lvlText w:val="（%1）"/>
      <w:lvlJc w:val="left"/>
      <w:pPr>
        <w:ind w:left="96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21"/>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41"/>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61"/>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81"/>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01"/>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21"/>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41"/>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61"/>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6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2026-02-11T03:41:33Z</dcterms:created>
  <dc:creator>fzr</dc:creator>
  <cp:lastModifiedBy>fzr</cp:lastModifiedBy>
  <dcterms:modified xsi:type="dcterms:W3CDTF">2026-02-11T03:41:40Z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